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9" w:rsidRDefault="00AE35DB" w:rsidP="0097023F">
      <w:pPr>
        <w:tabs>
          <w:tab w:val="center" w:pos="4960"/>
          <w:tab w:val="left" w:pos="7371"/>
        </w:tabs>
        <w:jc w:val="right"/>
        <w:rPr>
          <w:b/>
        </w:rPr>
      </w:pPr>
      <w:r>
        <w:rPr>
          <w:b/>
        </w:rPr>
        <w:t xml:space="preserve">                                          </w:t>
      </w:r>
      <w:r w:rsidR="0097023F">
        <w:rPr>
          <w:b/>
        </w:rPr>
        <w:t xml:space="preserve">                                                    </w:t>
      </w:r>
    </w:p>
    <w:p w:rsidR="00324FF5" w:rsidRPr="00AE35DB" w:rsidRDefault="00072AF9" w:rsidP="00072AF9">
      <w:pPr>
        <w:jc w:val="right"/>
        <w:rPr>
          <w:b/>
          <w:sz w:val="28"/>
          <w:szCs w:val="28"/>
        </w:rPr>
      </w:pPr>
      <w:r>
        <w:rPr>
          <w:b/>
        </w:rPr>
        <w:t>ПРОЕКТ</w:t>
      </w:r>
    </w:p>
    <w:p w:rsidR="00324FF5" w:rsidRPr="00B44D82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 w:rsidR="003225A7">
        <w:t xml:space="preserve"> </w:t>
      </w:r>
      <w:r w:rsidR="006C13C4">
        <w:t xml:space="preserve">     </w:t>
      </w:r>
      <w:r w:rsidR="003225A7">
        <w:t xml:space="preserve"> декабря </w:t>
      </w:r>
      <w:r w:rsidR="00FC2354">
        <w:t xml:space="preserve"> 201</w:t>
      </w:r>
      <w:r w:rsidR="003225A7">
        <w:t>6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1155" w:type="dxa"/>
        <w:tblLook w:val="01E0"/>
      </w:tblPr>
      <w:tblGrid>
        <w:gridCol w:w="5070"/>
        <w:gridCol w:w="6085"/>
      </w:tblGrid>
      <w:tr w:rsidR="00FC2354" w:rsidRPr="00B44D82" w:rsidTr="009E5765">
        <w:trPr>
          <w:trHeight w:val="2051"/>
        </w:trPr>
        <w:tc>
          <w:tcPr>
            <w:tcW w:w="5070" w:type="dxa"/>
          </w:tcPr>
          <w:p w:rsidR="00FC2354" w:rsidRDefault="006C13C4" w:rsidP="00567ED7">
            <w:pPr>
              <w:widowControl w:val="0"/>
              <w:autoSpaceDE w:val="0"/>
              <w:jc w:val="both"/>
              <w:rPr>
                <w:b/>
              </w:rPr>
            </w:pPr>
            <w:r w:rsidRPr="00131785">
              <w:rPr>
                <w:b/>
                <w:bCs/>
              </w:rPr>
              <w:t xml:space="preserve">Об утверждении </w:t>
            </w:r>
            <w:r>
              <w:rPr>
                <w:b/>
              </w:rPr>
              <w:t>П</w:t>
            </w:r>
            <w:r w:rsidRPr="00131785">
              <w:rPr>
                <w:b/>
              </w:rPr>
              <w:t>равил определения требований к</w:t>
            </w:r>
            <w:r w:rsidR="00567ED7">
              <w:rPr>
                <w:b/>
              </w:rPr>
              <w:t xml:space="preserve"> отдельным видам товаров, работ, услуг (в том числе предельные цены товаров, работ, услуг)</w:t>
            </w:r>
            <w:r w:rsidRPr="00131785">
              <w:rPr>
                <w:b/>
              </w:rPr>
              <w:t xml:space="preserve"> закупаемы</w:t>
            </w:r>
            <w:r>
              <w:rPr>
                <w:b/>
              </w:rPr>
              <w:t>м муниципальными</w:t>
            </w:r>
            <w:r w:rsidR="00567ED7">
              <w:rPr>
                <w:b/>
              </w:rPr>
              <w:t xml:space="preserve"> органами Притобольного района</w:t>
            </w:r>
            <w:r>
              <w:rPr>
                <w:b/>
              </w:rPr>
              <w:t xml:space="preserve"> и подведомстве</w:t>
            </w:r>
            <w:r w:rsidR="00567ED7">
              <w:rPr>
                <w:b/>
              </w:rPr>
              <w:t>нными им казенными учреждениями</w:t>
            </w:r>
            <w:r>
              <w:rPr>
                <w:b/>
              </w:rPr>
              <w:t xml:space="preserve"> </w:t>
            </w:r>
          </w:p>
          <w:p w:rsidR="009E5765" w:rsidRDefault="009E5765" w:rsidP="00567ED7">
            <w:pPr>
              <w:widowControl w:val="0"/>
              <w:autoSpaceDE w:val="0"/>
              <w:jc w:val="both"/>
              <w:rPr>
                <w:b/>
              </w:rPr>
            </w:pPr>
          </w:p>
          <w:p w:rsidR="009E5765" w:rsidRPr="00B44D82" w:rsidRDefault="009E5765" w:rsidP="00567ED7">
            <w:pPr>
              <w:widowControl w:val="0"/>
              <w:autoSpaceDE w:val="0"/>
              <w:jc w:val="both"/>
            </w:pPr>
          </w:p>
        </w:tc>
        <w:tc>
          <w:tcPr>
            <w:tcW w:w="6085" w:type="dxa"/>
          </w:tcPr>
          <w:p w:rsidR="00FC2354" w:rsidRPr="00B44D82" w:rsidRDefault="00FC2354" w:rsidP="006C13C4">
            <w:pPr>
              <w:jc w:val="both"/>
            </w:pPr>
          </w:p>
        </w:tc>
      </w:tr>
    </w:tbl>
    <w:p w:rsidR="00FB2585" w:rsidRDefault="006C13C4" w:rsidP="003A07CB">
      <w:pPr>
        <w:ind w:firstLine="708"/>
        <w:jc w:val="both"/>
      </w:pPr>
      <w:proofErr w:type="gramStart"/>
      <w:r w:rsidRPr="001C5C77">
        <w:t>В соответствии с пунктом 2</w:t>
      </w:r>
      <w:r w:rsidRPr="00395530">
        <w:t xml:space="preserve"> </w:t>
      </w:r>
      <w:hyperlink r:id="rId6" w:history="1">
        <w:r w:rsidRPr="00395530">
          <w:t>части 4 статьи 19</w:t>
        </w:r>
      </w:hyperlink>
      <w:r w:rsidRPr="001C5C77">
        <w:t xml:space="preserve"> Фед</w:t>
      </w:r>
      <w:r w:rsidR="003A07CB">
        <w:t xml:space="preserve">ерального закона от </w:t>
      </w:r>
      <w:r w:rsidR="00567ED7">
        <w:t xml:space="preserve">5 апреля </w:t>
      </w:r>
      <w:r w:rsidRPr="001C5C77">
        <w:t>2013 г</w:t>
      </w:r>
      <w:r w:rsidR="009E5765">
        <w:t>ода</w:t>
      </w:r>
      <w:r w:rsidRPr="001C5C77">
        <w:t xml:space="preserve"> </w:t>
      </w:r>
      <w:r w:rsidR="00567ED7">
        <w:t xml:space="preserve">      </w:t>
      </w:r>
      <w:r w:rsidRPr="001C5C77">
        <w:t xml:space="preserve"> №</w:t>
      </w:r>
      <w:r w:rsidR="00567ED7">
        <w:t xml:space="preserve"> </w:t>
      </w:r>
      <w:r w:rsidRPr="001C5C77">
        <w:t>44-ФЗ "О контрактной системе в сфере закупок товаров, работ, услуг для обеспечения государственных и муниципальных нужд",</w:t>
      </w:r>
      <w:r w:rsidR="009E5765">
        <w:t xml:space="preserve"> руководствуясь</w:t>
      </w:r>
      <w:r w:rsidRPr="001C5C77">
        <w:t xml:space="preserve"> постановлением Правительства Р</w:t>
      </w:r>
      <w:r w:rsidR="00FB2585">
        <w:t xml:space="preserve">оссийской </w:t>
      </w:r>
      <w:r w:rsidRPr="001C5C77">
        <w:t>Ф</w:t>
      </w:r>
      <w:r w:rsidR="00FB2585">
        <w:t>едерации</w:t>
      </w:r>
      <w:r w:rsidR="00567ED7">
        <w:t xml:space="preserve"> от 18 мая </w:t>
      </w:r>
      <w:r w:rsidRPr="001C5C77">
        <w:t>2015 г</w:t>
      </w:r>
      <w:r w:rsidR="009E5765">
        <w:t>ода</w:t>
      </w:r>
      <w:r w:rsidRPr="001C5C77">
        <w:t xml:space="preserve">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1C5C77">
        <w:t xml:space="preserve"> </w:t>
      </w:r>
      <w:proofErr w:type="gramStart"/>
      <w:r w:rsidRPr="001C5C77">
        <w:t>указанных актов и обеспечению их исполнения», постановлением Правительства Р</w:t>
      </w:r>
      <w:r w:rsidR="00FB2585">
        <w:t xml:space="preserve">оссийской </w:t>
      </w:r>
      <w:r w:rsidR="00567ED7">
        <w:t>Ф</w:t>
      </w:r>
      <w:r w:rsidR="00FB2585">
        <w:t>едерации</w:t>
      </w:r>
      <w:r w:rsidR="00567ED7">
        <w:t xml:space="preserve"> от </w:t>
      </w:r>
      <w:r w:rsidRPr="001C5C77">
        <w:t>2</w:t>
      </w:r>
      <w:r w:rsidR="00567ED7">
        <w:t xml:space="preserve"> сентября </w:t>
      </w:r>
      <w:r w:rsidRPr="001C5C77">
        <w:t>2015</w:t>
      </w:r>
      <w:r w:rsidR="009E5765">
        <w:t xml:space="preserve"> года</w:t>
      </w:r>
      <w:r w:rsidRPr="001C5C77"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1C5C77">
        <w:rPr>
          <w:rFonts w:eastAsiaTheme="minorEastAsia"/>
        </w:rPr>
        <w:t xml:space="preserve">постановлением Администрации </w:t>
      </w:r>
      <w:r w:rsidR="00567ED7">
        <w:rPr>
          <w:rFonts w:eastAsiaTheme="minorEastAsia"/>
        </w:rPr>
        <w:t>Притобольного</w:t>
      </w:r>
      <w:r w:rsidRPr="001C5C77">
        <w:rPr>
          <w:rFonts w:eastAsiaTheme="minorEastAsia"/>
        </w:rPr>
        <w:t xml:space="preserve"> района </w:t>
      </w:r>
      <w:r w:rsidR="00FB2585">
        <w:rPr>
          <w:rFonts w:eastAsiaTheme="minorEastAsia"/>
        </w:rPr>
        <w:t xml:space="preserve">от </w:t>
      </w:r>
      <w:r w:rsidR="009E5765">
        <w:rPr>
          <w:rFonts w:eastAsiaTheme="minorEastAsia"/>
        </w:rPr>
        <w:t>1 декабря 20</w:t>
      </w:r>
      <w:r>
        <w:rPr>
          <w:rFonts w:eastAsiaTheme="minorEastAsia"/>
        </w:rPr>
        <w:t>16</w:t>
      </w:r>
      <w:r w:rsidR="009E5765">
        <w:rPr>
          <w:rFonts w:eastAsiaTheme="minorEastAsia"/>
        </w:rPr>
        <w:t xml:space="preserve"> </w:t>
      </w:r>
      <w:r w:rsidRPr="001C5C77">
        <w:rPr>
          <w:rFonts w:eastAsiaTheme="minorEastAsia"/>
        </w:rPr>
        <w:t>г</w:t>
      </w:r>
      <w:r w:rsidR="009E5765">
        <w:rPr>
          <w:rFonts w:eastAsiaTheme="minorEastAsia"/>
        </w:rPr>
        <w:t>ода</w:t>
      </w:r>
      <w:r w:rsidRPr="001C5C77">
        <w:rPr>
          <w:rFonts w:eastAsiaTheme="minorEastAsia"/>
        </w:rPr>
        <w:t xml:space="preserve"> №</w:t>
      </w:r>
      <w:r w:rsidR="009E5765">
        <w:rPr>
          <w:rFonts w:eastAsiaTheme="minorEastAsia"/>
        </w:rPr>
        <w:t xml:space="preserve"> 375</w:t>
      </w:r>
      <w:r>
        <w:rPr>
          <w:rFonts w:eastAsiaTheme="minorEastAsia"/>
        </w:rPr>
        <w:t xml:space="preserve"> </w:t>
      </w:r>
      <w:r w:rsidRPr="001C5C77">
        <w:rPr>
          <w:rFonts w:eastAsiaTheme="minorEastAsia"/>
        </w:rPr>
        <w:t xml:space="preserve"> «Об утверждении требований к порядку разработки и принятию правовых актов о нормировании</w:t>
      </w:r>
      <w:proofErr w:type="gramEnd"/>
      <w:r w:rsidRPr="001C5C77">
        <w:rPr>
          <w:rFonts w:eastAsiaTheme="minorEastAsia"/>
        </w:rPr>
        <w:t xml:space="preserve"> в сфере закупок для обеспечения м</w:t>
      </w:r>
      <w:r w:rsidR="009E5765">
        <w:rPr>
          <w:rFonts w:eastAsiaTheme="minorEastAsia"/>
        </w:rPr>
        <w:t>униципальных нужд Притобольного</w:t>
      </w:r>
      <w:r w:rsidRPr="001C5C77">
        <w:rPr>
          <w:rFonts w:eastAsiaTheme="minorEastAsia"/>
        </w:rPr>
        <w:t xml:space="preserve"> района, содержанию указанных актов и обеспечению их исполнения», </w:t>
      </w:r>
      <w:r w:rsidRPr="001C5C77">
        <w:t xml:space="preserve">руководствуясь Федеральным законом от </w:t>
      </w:r>
      <w:r w:rsidR="009E5765">
        <w:t xml:space="preserve">6 октября </w:t>
      </w:r>
      <w:r w:rsidRPr="001C5C77">
        <w:t>2003</w:t>
      </w:r>
      <w:r w:rsidR="009E5765">
        <w:t xml:space="preserve"> года</w:t>
      </w:r>
      <w:r w:rsidRPr="001C5C77">
        <w:t xml:space="preserve"> </w:t>
      </w:r>
      <w:r w:rsidR="00FB2585">
        <w:t>№</w:t>
      </w:r>
      <w:r w:rsidRPr="001C5C77">
        <w:t xml:space="preserve"> 131-ФЗ "Об общих принципах организации местного самоуправления в Ро</w:t>
      </w:r>
      <w:r w:rsidR="009E5765">
        <w:t>ссийской Федерации"</w:t>
      </w:r>
      <w:r w:rsidRPr="001C5C77">
        <w:t xml:space="preserve">, Администрация </w:t>
      </w:r>
      <w:r w:rsidR="009E5765">
        <w:t>Притобольного</w:t>
      </w:r>
      <w:r w:rsidRPr="001C5C77">
        <w:t xml:space="preserve"> района</w:t>
      </w:r>
      <w:r w:rsidR="00331B5A">
        <w:t xml:space="preserve"> </w:t>
      </w:r>
    </w:p>
    <w:p w:rsidR="006C13C4" w:rsidRPr="00331B5A" w:rsidRDefault="006C13C4" w:rsidP="003A07CB">
      <w:pPr>
        <w:ind w:firstLine="708"/>
        <w:jc w:val="both"/>
        <w:rPr>
          <w:rStyle w:val="6"/>
          <w:b w:val="0"/>
          <w:bCs w:val="0"/>
          <w:i w:val="0"/>
          <w:iCs w:val="0"/>
          <w:sz w:val="24"/>
          <w:szCs w:val="24"/>
        </w:rPr>
      </w:pPr>
      <w:r w:rsidRPr="00331B5A">
        <w:rPr>
          <w:rStyle w:val="6"/>
          <w:b w:val="0"/>
          <w:i w:val="0"/>
          <w:sz w:val="24"/>
          <w:szCs w:val="24"/>
        </w:rPr>
        <w:t>ПОСТАНОВЛЯЕТ:</w:t>
      </w:r>
    </w:p>
    <w:p w:rsidR="006C13C4" w:rsidRPr="005121A0" w:rsidRDefault="00331B5A" w:rsidP="003A07CB">
      <w:pPr>
        <w:pStyle w:val="western"/>
        <w:spacing w:before="0" w:after="0" w:line="240" w:lineRule="auto"/>
        <w:ind w:firstLine="708"/>
        <w:jc w:val="both"/>
        <w:rPr>
          <w:rStyle w:val="a6"/>
        </w:rPr>
      </w:pPr>
      <w:r>
        <w:rPr>
          <w:rStyle w:val="a6"/>
        </w:rPr>
        <w:t xml:space="preserve">1. </w:t>
      </w:r>
      <w:r w:rsidR="006C13C4" w:rsidRPr="005121A0">
        <w:rPr>
          <w:rStyle w:val="a6"/>
        </w:rPr>
        <w:t xml:space="preserve">Утвердить </w:t>
      </w:r>
      <w:r w:rsidR="006C13C4" w:rsidRPr="005121A0">
        <w:rPr>
          <w:rFonts w:ascii="Times New Roman" w:hAnsi="Times New Roman"/>
        </w:rPr>
        <w:t>Правила определения требований к</w:t>
      </w:r>
      <w:r w:rsidR="009E5765" w:rsidRPr="009E5765">
        <w:rPr>
          <w:rFonts w:ascii="Times New Roman" w:hAnsi="Times New Roman"/>
        </w:rPr>
        <w:t xml:space="preserve"> </w:t>
      </w:r>
      <w:r w:rsidR="009E5765" w:rsidRPr="005121A0">
        <w:rPr>
          <w:rFonts w:ascii="Times New Roman" w:hAnsi="Times New Roman"/>
        </w:rPr>
        <w:t xml:space="preserve">отдельным видам товаров, работ, услуг (в том числе предельные цены товаров, работ, услуг) </w:t>
      </w:r>
      <w:r w:rsidR="006C13C4" w:rsidRPr="005121A0">
        <w:rPr>
          <w:rFonts w:ascii="Times New Roman" w:hAnsi="Times New Roman"/>
        </w:rPr>
        <w:t xml:space="preserve"> закупаемым муниципальными</w:t>
      </w:r>
      <w:r w:rsidR="009E5765">
        <w:rPr>
          <w:rFonts w:ascii="Times New Roman" w:hAnsi="Times New Roman"/>
        </w:rPr>
        <w:t xml:space="preserve"> органами Притобольного района</w:t>
      </w:r>
      <w:r w:rsidR="006C13C4" w:rsidRPr="005121A0">
        <w:rPr>
          <w:rFonts w:ascii="Times New Roman" w:hAnsi="Times New Roman"/>
        </w:rPr>
        <w:t xml:space="preserve"> и подведомственными им казенными учреждениями</w:t>
      </w:r>
      <w:r w:rsidR="009E5765">
        <w:rPr>
          <w:rFonts w:ascii="Times New Roman" w:hAnsi="Times New Roman"/>
        </w:rPr>
        <w:t xml:space="preserve">,  </w:t>
      </w:r>
      <w:r w:rsidR="006C13C4" w:rsidRPr="005121A0">
        <w:rPr>
          <w:rFonts w:ascii="Times New Roman" w:hAnsi="Times New Roman"/>
        </w:rPr>
        <w:t xml:space="preserve">согласно приложению к настоящему </w:t>
      </w:r>
      <w:r w:rsidR="009E5765">
        <w:rPr>
          <w:rFonts w:ascii="Times New Roman" w:hAnsi="Times New Roman"/>
        </w:rPr>
        <w:t>п</w:t>
      </w:r>
      <w:r w:rsidR="006C13C4" w:rsidRPr="005121A0">
        <w:rPr>
          <w:rFonts w:ascii="Times New Roman" w:hAnsi="Times New Roman"/>
        </w:rPr>
        <w:t>остановлению.</w:t>
      </w:r>
    </w:p>
    <w:p w:rsidR="00FB2585" w:rsidRPr="00CA219E" w:rsidRDefault="00395530" w:rsidP="00395530">
      <w:pPr>
        <w:pStyle w:val="a0"/>
        <w:widowControl w:val="0"/>
        <w:tabs>
          <w:tab w:val="left" w:pos="863"/>
        </w:tabs>
        <w:spacing w:after="0"/>
        <w:jc w:val="both"/>
      </w:pPr>
      <w:r>
        <w:rPr>
          <w:rStyle w:val="a6"/>
        </w:rPr>
        <w:t xml:space="preserve">           2</w:t>
      </w:r>
      <w:r w:rsidR="00331B5A">
        <w:t xml:space="preserve">. </w:t>
      </w:r>
      <w:r w:rsidR="00FB2585">
        <w:t xml:space="preserve">Настоящее постановление вступает в силу со дня официального опубликования  </w:t>
      </w:r>
      <w:r w:rsidR="00FB2585" w:rsidRPr="00FD7BD9">
        <w:t>в информационном бюллетене «Му</w:t>
      </w:r>
      <w:r w:rsidR="00FB2585">
        <w:t xml:space="preserve">ниципальный вестник </w:t>
      </w:r>
      <w:proofErr w:type="spellStart"/>
      <w:r w:rsidR="00FB2585">
        <w:t>Притоболья</w:t>
      </w:r>
      <w:proofErr w:type="spellEnd"/>
      <w:r w:rsidR="00FB2585">
        <w:t xml:space="preserve">», подлежит размещению </w:t>
      </w:r>
      <w:r w:rsidR="00FB2585" w:rsidRPr="00FD7BD9">
        <w:t>на официальном сайте Администрации Притобольного района в сети «Интернет»</w:t>
      </w:r>
      <w:r w:rsidR="00FB2585">
        <w:t xml:space="preserve"> и</w:t>
      </w:r>
      <w:r w:rsidR="00FB2585" w:rsidRPr="009C1BDB">
        <w:t xml:space="preserve"> в единой информац</w:t>
      </w:r>
      <w:r w:rsidR="00FB2585">
        <w:t>ионной системе в сфере закупок.</w:t>
      </w:r>
    </w:p>
    <w:p w:rsidR="003225A7" w:rsidRDefault="00395530" w:rsidP="00FB2585">
      <w:pPr>
        <w:pStyle w:val="a0"/>
        <w:widowControl w:val="0"/>
        <w:tabs>
          <w:tab w:val="left" w:pos="863"/>
        </w:tabs>
        <w:spacing w:after="0"/>
        <w:jc w:val="both"/>
      </w:pPr>
      <w:r>
        <w:t xml:space="preserve">          3</w:t>
      </w:r>
      <w:r w:rsidR="003225A7" w:rsidRPr="009C1BDB">
        <w:t xml:space="preserve">. </w:t>
      </w:r>
      <w:proofErr w:type="gramStart"/>
      <w:r w:rsidR="003225A7" w:rsidRPr="009C1BDB">
        <w:t>Контроль за</w:t>
      </w:r>
      <w:proofErr w:type="gramEnd"/>
      <w:r w:rsidR="003225A7" w:rsidRPr="009C1BDB">
        <w:t xml:space="preserve"> выполнением настоящего  постановления  </w:t>
      </w:r>
      <w:r w:rsidR="00FB2585">
        <w:t>оставляю за собой.</w:t>
      </w:r>
    </w:p>
    <w:p w:rsidR="00FB2585" w:rsidRDefault="00FB2585" w:rsidP="00FB2585">
      <w:pPr>
        <w:pStyle w:val="a0"/>
        <w:widowControl w:val="0"/>
        <w:tabs>
          <w:tab w:val="left" w:pos="863"/>
        </w:tabs>
        <w:spacing w:after="0"/>
        <w:jc w:val="both"/>
      </w:pPr>
    </w:p>
    <w:p w:rsidR="003225A7" w:rsidRDefault="003225A7" w:rsidP="003A07CB">
      <w:pPr>
        <w:pStyle w:val="3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5A7" w:rsidRPr="005A523A" w:rsidRDefault="00C912BE" w:rsidP="003A07CB">
      <w:pPr>
        <w:pStyle w:val="3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заместитель Главы 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района                      </w:t>
      </w:r>
      <w:r w:rsidR="003225A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Д.Ю.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Лесовой</w:t>
      </w:r>
      <w:proofErr w:type="spellEnd"/>
    </w:p>
    <w:p w:rsidR="00FC2354" w:rsidRDefault="00FC2354" w:rsidP="003A07CB">
      <w:pPr>
        <w:jc w:val="both"/>
        <w:rPr>
          <w:sz w:val="22"/>
          <w:szCs w:val="22"/>
        </w:rPr>
        <w:sectPr w:rsidR="00FC2354" w:rsidSect="00FB258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2354" w:rsidRPr="00ED5CB4" w:rsidRDefault="00FC2354" w:rsidP="003A07CB">
      <w:pPr>
        <w:jc w:val="both"/>
        <w:rPr>
          <w:sz w:val="22"/>
          <w:szCs w:val="22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20"/>
        <w:gridCol w:w="1075"/>
        <w:gridCol w:w="5811"/>
      </w:tblGrid>
      <w:tr w:rsidR="006C13C4" w:rsidRPr="001C5C77" w:rsidTr="006C13C4">
        <w:trPr>
          <w:tblCellSpacing w:w="0" w:type="dxa"/>
        </w:trPr>
        <w:tc>
          <w:tcPr>
            <w:tcW w:w="3320" w:type="dxa"/>
            <w:vAlign w:val="center"/>
            <w:hideMark/>
          </w:tcPr>
          <w:p w:rsidR="006C13C4" w:rsidRPr="000D422C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:rsidR="006C13C4" w:rsidRPr="000D422C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422C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vAlign w:val="center"/>
            <w:hideMark/>
          </w:tcPr>
          <w:p w:rsidR="006C13C4" w:rsidRPr="00FB2585" w:rsidRDefault="006C13C4" w:rsidP="003A07CB">
            <w:pPr>
              <w:pStyle w:val="1"/>
              <w:tabs>
                <w:tab w:val="clear" w:pos="0"/>
              </w:tabs>
              <w:spacing w:before="0" w:after="0" w:line="240" w:lineRule="auto"/>
              <w:ind w:left="1134" w:firstLine="0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B2585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6C13C4" w:rsidRPr="001C5C77" w:rsidRDefault="006C13C4" w:rsidP="00FB2585">
            <w:pPr>
              <w:ind w:left="1134"/>
              <w:jc w:val="both"/>
              <w:rPr>
                <w:sz w:val="20"/>
                <w:szCs w:val="20"/>
              </w:rPr>
            </w:pPr>
            <w:r w:rsidRPr="00FB2585">
              <w:rPr>
                <w:rFonts w:eastAsiaTheme="minorEastAsia"/>
              </w:rPr>
              <w:t xml:space="preserve">к постановлению Администрации </w:t>
            </w:r>
            <w:r w:rsidR="009E5765" w:rsidRPr="00FB2585">
              <w:rPr>
                <w:rFonts w:eastAsiaTheme="minorEastAsia"/>
              </w:rPr>
              <w:t>Притобольного</w:t>
            </w:r>
            <w:r w:rsidRPr="00FB2585">
              <w:rPr>
                <w:rFonts w:eastAsiaTheme="minorEastAsia"/>
              </w:rPr>
              <w:t xml:space="preserve"> района от ______20__г. №_______«</w:t>
            </w:r>
            <w:r w:rsidRPr="00FB2585">
              <w:rPr>
                <w:bCs/>
              </w:rPr>
              <w:t xml:space="preserve">Об утверждении Правил </w:t>
            </w:r>
            <w:r w:rsidRPr="00FB2585">
              <w:rPr>
                <w:b/>
              </w:rPr>
              <w:t>о</w:t>
            </w:r>
            <w:r w:rsidRPr="00FB2585">
              <w:t xml:space="preserve">пределения требований к </w:t>
            </w:r>
            <w:r w:rsidR="009E5765" w:rsidRPr="00FB2585">
              <w:t xml:space="preserve">отдельным видам товаров, работ, услуг (в том числе предельные цены товаров, работ, услуг)  </w:t>
            </w:r>
            <w:r w:rsidRPr="00FB2585">
              <w:t>закупаемым муниципальными</w:t>
            </w:r>
            <w:r w:rsidR="009E5765" w:rsidRPr="00FB2585">
              <w:t xml:space="preserve"> органами Притобольного района</w:t>
            </w:r>
            <w:r w:rsidRPr="00FB2585">
              <w:t xml:space="preserve"> и подведомственными им казенными учреждениями</w:t>
            </w:r>
            <w:r w:rsidRPr="00FB2585">
              <w:rPr>
                <w:rFonts w:eastAsiaTheme="minorEastAsia"/>
              </w:rPr>
              <w:t>»</w:t>
            </w:r>
          </w:p>
        </w:tc>
      </w:tr>
    </w:tbl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1C5C77">
        <w:rPr>
          <w:rFonts w:ascii="Arial" w:hAnsi="Arial" w:cs="Arial"/>
          <w:color w:val="333333"/>
          <w:sz w:val="20"/>
          <w:szCs w:val="20"/>
        </w:rPr>
        <w:t> 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</w:p>
    <w:p w:rsidR="006C13C4" w:rsidRDefault="006C13C4" w:rsidP="003A07CB">
      <w:pPr>
        <w:widowControl w:val="0"/>
        <w:autoSpaceDE w:val="0"/>
        <w:jc w:val="center"/>
        <w:rPr>
          <w:b/>
        </w:rPr>
      </w:pPr>
      <w:r w:rsidRPr="005121A0">
        <w:rPr>
          <w:b/>
        </w:rPr>
        <w:t xml:space="preserve">Правила определения требований к </w:t>
      </w:r>
      <w:r w:rsidR="00791F3F" w:rsidRPr="00791F3F">
        <w:rPr>
          <w:b/>
        </w:rPr>
        <w:t>отдельным видам товаров, работ, услуг (в том числе предельные цены товаров, работ, услуг)  закупаемым муниципальными органами Притобольного района и подведомственными им казенными учреждениями</w:t>
      </w:r>
    </w:p>
    <w:p w:rsidR="00FB2585" w:rsidRPr="00791F3F" w:rsidRDefault="00FB2585" w:rsidP="003A07CB">
      <w:pPr>
        <w:widowControl w:val="0"/>
        <w:autoSpaceDE w:val="0"/>
        <w:jc w:val="center"/>
        <w:rPr>
          <w:b/>
        </w:rPr>
      </w:pPr>
    </w:p>
    <w:p w:rsidR="006C13C4" w:rsidRPr="005121A0" w:rsidRDefault="006C13C4" w:rsidP="003A07CB">
      <w:pPr>
        <w:widowControl w:val="0"/>
        <w:autoSpaceDE w:val="0"/>
        <w:jc w:val="both"/>
        <w:rPr>
          <w:b/>
        </w:rPr>
      </w:pPr>
      <w:r w:rsidRPr="001C5C77">
        <w:tab/>
        <w:t xml:space="preserve">1. Настоящие Правила устанавливают порядок </w:t>
      </w:r>
      <w:r w:rsidRPr="005121A0">
        <w:t xml:space="preserve">определения требований к </w:t>
      </w:r>
      <w:r w:rsidR="00791F3F" w:rsidRPr="005121A0">
        <w:t>отдельным видам товаров, работ, услуг (в том числе предельные цены товаров, работ, услуг)</w:t>
      </w:r>
      <w:r w:rsidR="00791F3F">
        <w:t xml:space="preserve"> </w:t>
      </w:r>
      <w:r w:rsidRPr="005121A0">
        <w:t>закупаемым муниципальными</w:t>
      </w:r>
      <w:r w:rsidR="00791F3F">
        <w:t xml:space="preserve"> органами Притобольного района</w:t>
      </w:r>
      <w:r w:rsidRPr="005121A0">
        <w:t xml:space="preserve"> и подведомственными им казенными учреждениями,</w:t>
      </w:r>
      <w:r>
        <w:rPr>
          <w:b/>
        </w:rPr>
        <w:t xml:space="preserve"> </w:t>
      </w:r>
      <w:r w:rsidRPr="001C5C77">
        <w:t>в отношении которых указанные органы осуществляют функции и полномочия учредителя (далее – Правила).</w:t>
      </w:r>
      <w:r w:rsidRPr="001C5C77">
        <w:rPr>
          <w:rFonts w:eastAsia="Courier New"/>
        </w:rPr>
        <w:t xml:space="preserve"> 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rPr>
          <w:color w:val="333333"/>
        </w:rPr>
        <w:tab/>
      </w:r>
      <w:r w:rsidRPr="001C5C77"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2. </w:t>
      </w:r>
      <w:proofErr w:type="gramStart"/>
      <w:r w:rsidRPr="001C5C77">
        <w:t>Требования к</w:t>
      </w:r>
      <w:r w:rsidR="00791F3F">
        <w:t xml:space="preserve"> </w:t>
      </w:r>
      <w:r w:rsidR="00791F3F" w:rsidRPr="001C5C77">
        <w:t>отдельным видам товаров, работ, услуг (в том числе предельные цены товаров, работ, услуг)</w:t>
      </w:r>
      <w:r w:rsidRPr="001C5C77">
        <w:t xml:space="preserve"> закупаемым муниципальными органами </w:t>
      </w:r>
      <w:r w:rsidR="00791F3F">
        <w:t>Притобольного</w:t>
      </w:r>
      <w:r w:rsidRPr="001C5C77">
        <w:t xml:space="preserve"> района и  подведомственными им казенными учреждениями</w:t>
      </w:r>
      <w:r w:rsidR="00791F3F">
        <w:t>,</w:t>
      </w:r>
      <w:r w:rsidRPr="001C5C77">
        <w:t xml:space="preserve"> утверждаются муниципальными органами </w:t>
      </w:r>
      <w:r w:rsidR="00791F3F">
        <w:t>Притобольного района</w:t>
      </w:r>
      <w:r w:rsidRPr="001C5C77"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</w:t>
      </w:r>
      <w:proofErr w:type="gramEnd"/>
      <w:r w:rsidRPr="001C5C77">
        <w:t xml:space="preserve">, услуг (далее – </w:t>
      </w:r>
      <w:r w:rsidR="003A07CB">
        <w:t>В</w:t>
      </w:r>
      <w:r w:rsidRPr="001C5C77">
        <w:t>едомственный перечень).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</w:r>
      <w:proofErr w:type="gramStart"/>
      <w:r w:rsidRPr="001C5C77"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а также значения таких свойств и характеристик (в том числе предельные цены товаров, работ, услуг), согласно приложению 2 к настоящим Правилам (далее – Обязательный перечень).</w:t>
      </w:r>
      <w:proofErr w:type="gramEnd"/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3. </w:t>
      </w:r>
      <w:proofErr w:type="gramStart"/>
      <w:r w:rsidRPr="001C5C77">
        <w:t xml:space="preserve">Используемые при формировании </w:t>
      </w:r>
      <w:r w:rsidR="003A07CB">
        <w:t>О</w:t>
      </w:r>
      <w:r w:rsidRPr="001C5C77">
        <w:t>бязательного перечня,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Общероссийских классификатором единиц измерения.</w:t>
      </w:r>
      <w:proofErr w:type="gramEnd"/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4. В отношении отдельных видов товаров, работ, услуг, включенных в </w:t>
      </w:r>
      <w:r w:rsidR="003A07CB">
        <w:t>О</w:t>
      </w:r>
      <w:r w:rsidRPr="001C5C77">
        <w:t xml:space="preserve">бязательный перечень, в </w:t>
      </w:r>
      <w:r w:rsidR="003A07CB">
        <w:t>В</w:t>
      </w:r>
      <w:r w:rsidRPr="001C5C77"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1C5C77">
        <w:rPr>
          <w:bCs/>
          <w:color w:val="000000"/>
          <w:shd w:val="clear" w:color="auto" w:fill="FFFFFF"/>
        </w:rPr>
        <w:t xml:space="preserve">Муниципальные органы </w:t>
      </w:r>
      <w:r w:rsidR="00791F3F">
        <w:rPr>
          <w:bCs/>
          <w:color w:val="000000"/>
          <w:shd w:val="clear" w:color="auto" w:fill="FFFFFF"/>
        </w:rPr>
        <w:t>Притобольного</w:t>
      </w:r>
      <w:r w:rsidRPr="001C5C77">
        <w:t xml:space="preserve"> района</w:t>
      </w:r>
      <w:r w:rsidRPr="001C5C77">
        <w:rPr>
          <w:bCs/>
          <w:color w:val="000000"/>
          <w:shd w:val="clear" w:color="auto" w:fill="FFFFFF"/>
        </w:rPr>
        <w:t xml:space="preserve"> в </w:t>
      </w:r>
      <w:r w:rsidR="003A07CB">
        <w:rPr>
          <w:bCs/>
          <w:color w:val="000000"/>
          <w:shd w:val="clear" w:color="auto" w:fill="FFFFFF"/>
        </w:rPr>
        <w:t>В</w:t>
      </w:r>
      <w:r w:rsidRPr="001C5C77">
        <w:rPr>
          <w:bCs/>
          <w:color w:val="000000"/>
          <w:shd w:val="clear" w:color="auto" w:fill="FFFFFF"/>
        </w:rPr>
        <w:t xml:space="preserve">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</w:t>
      </w:r>
      <w:r w:rsidRPr="001C5C77">
        <w:rPr>
          <w:bCs/>
          <w:color w:val="000000"/>
          <w:shd w:val="clear" w:color="auto" w:fill="FFFFFF"/>
        </w:rPr>
        <w:lastRenderedPageBreak/>
        <w:t>перечне не определены значения таких характеристик (свойств) (в том числе предельные цены товаров, работ, услуг).</w:t>
      </w:r>
    </w:p>
    <w:p w:rsidR="006C13C4" w:rsidRPr="001C5C77" w:rsidRDefault="006C13C4" w:rsidP="003A07C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1C5C77">
        <w:t xml:space="preserve">Отдельные виды товаров, работ, услуг, не включенные в </w:t>
      </w:r>
      <w:r w:rsidR="003A07CB">
        <w:t>О</w:t>
      </w:r>
      <w:r w:rsidRPr="001C5C77">
        <w:t>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</w:t>
      </w:r>
      <w:r w:rsidRPr="001C5C77">
        <w:rPr>
          <w:rFonts w:ascii="Arial" w:hAnsi="Arial" w:cs="Arial"/>
        </w:rPr>
        <w:t>:</w:t>
      </w:r>
    </w:p>
    <w:p w:rsidR="006C13C4" w:rsidRPr="001C5C77" w:rsidRDefault="006C13C4" w:rsidP="003A07CB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и подведомстве</w:t>
      </w:r>
      <w:r w:rsidR="00791F3F">
        <w:rPr>
          <w:rFonts w:ascii="Times New Roman" w:eastAsia="Times New Roman" w:hAnsi="Times New Roman"/>
          <w:sz w:val="24"/>
          <w:szCs w:val="24"/>
          <w:lang w:eastAsia="ru-RU"/>
        </w:rPr>
        <w:t>нными им казенными учреждениями</w:t>
      </w:r>
      <w:r w:rsidRPr="001C5C77">
        <w:rPr>
          <w:rFonts w:ascii="Times New Roman" w:hAnsi="Times New Roman"/>
          <w:sz w:val="24"/>
          <w:szCs w:val="24"/>
        </w:rPr>
        <w:t xml:space="preserve"> </w:t>
      </w:r>
      <w:r w:rsidR="00791F3F">
        <w:rPr>
          <w:rFonts w:ascii="Times New Roman" w:hAnsi="Times New Roman"/>
          <w:sz w:val="24"/>
          <w:szCs w:val="24"/>
        </w:rPr>
        <w:t>Притобольного</w:t>
      </w:r>
      <w:r w:rsidRPr="001C5C77">
        <w:rPr>
          <w:rFonts w:ascii="Times New Roman" w:hAnsi="Times New Roman"/>
          <w:sz w:val="24"/>
          <w:szCs w:val="24"/>
        </w:rPr>
        <w:t xml:space="preserve"> района</w:t>
      </w:r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объеме оплаты по контрактам, включенным в указанные реестры</w:t>
      </w:r>
      <w:proofErr w:type="gramEnd"/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графикам платежей), заключенным соответствующими муниципальными органами и подведомственными им казенными учреждениями</w:t>
      </w:r>
      <w:r w:rsidRPr="001C5C77">
        <w:rPr>
          <w:rFonts w:ascii="Times New Roman" w:hAnsi="Times New Roman"/>
          <w:sz w:val="24"/>
          <w:szCs w:val="24"/>
        </w:rPr>
        <w:t xml:space="preserve"> </w:t>
      </w:r>
      <w:r w:rsidR="00791F3F">
        <w:rPr>
          <w:rFonts w:ascii="Times New Roman" w:hAnsi="Times New Roman"/>
          <w:sz w:val="24"/>
          <w:szCs w:val="24"/>
        </w:rPr>
        <w:t xml:space="preserve">Притобольного </w:t>
      </w:r>
      <w:r w:rsidRPr="001C5C77">
        <w:rPr>
          <w:rFonts w:ascii="Times New Roman" w:hAnsi="Times New Roman"/>
          <w:sz w:val="24"/>
          <w:szCs w:val="24"/>
        </w:rPr>
        <w:t>района</w:t>
      </w:r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3C4" w:rsidRPr="001C5C77" w:rsidRDefault="006C13C4" w:rsidP="003A07CB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2031"/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>б) доля контрактов муниципальных органов</w:t>
      </w:r>
      <w:r w:rsidR="00791F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Притобольного района</w:t>
      </w:r>
      <w:r w:rsidRPr="001C5C7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подведомственным им казенных учреждений на приобретение отдельных видов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подведомственного ему казенного учреждения, заключенных в отчетном финансовом году.</w:t>
      </w:r>
    </w:p>
    <w:bookmarkEnd w:id="0"/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6. </w:t>
      </w:r>
      <w:proofErr w:type="gramStart"/>
      <w:r w:rsidRPr="001C5C77">
        <w:t xml:space="preserve">При включении в </w:t>
      </w:r>
      <w:r w:rsidR="003A07CB">
        <w:t>В</w:t>
      </w:r>
      <w:r w:rsidRPr="001C5C77">
        <w:t>едомственный перечень отдельных видов товаров, работ, услуг, не указанных в обязательном перечне, применяются установленные пунктом 5 настоящих Правил критерии исходя из определения их значений в процентном отношении к объему осуществляемых</w:t>
      </w:r>
      <w:r w:rsidR="00791F3F">
        <w:t xml:space="preserve"> закупок</w:t>
      </w:r>
      <w:r w:rsidRPr="001C5C77">
        <w:t xml:space="preserve"> муниципальными органами </w:t>
      </w:r>
      <w:r w:rsidR="00791F3F">
        <w:t xml:space="preserve">Притобольного района </w:t>
      </w:r>
      <w:r w:rsidRPr="001C5C77">
        <w:t>и подведомственными им казенными учреждениями</w:t>
      </w:r>
      <w:r w:rsidR="00791F3F">
        <w:t>.</w:t>
      </w:r>
      <w:proofErr w:type="gramEnd"/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7. В целях формирования </w:t>
      </w:r>
      <w:r w:rsidR="003A07CB">
        <w:t>В</w:t>
      </w:r>
      <w:r w:rsidRPr="001C5C77">
        <w:t>едомственного перечня муниципальные органы</w:t>
      </w:r>
      <w:r w:rsidR="00791F3F">
        <w:t xml:space="preserve"> Притобольного</w:t>
      </w:r>
      <w:r w:rsidRPr="001C5C77">
        <w:t xml:space="preserve"> района вправе определять дополнительные критерии отбора отдельных видов товаров, работ, услуг и порядок применения, не приводящие к сокращению значения критериев, установленных пунктом 5 настоящих Правил.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8. Муниципальные органы </w:t>
      </w:r>
      <w:r w:rsidR="00791F3F">
        <w:t>Притобольного</w:t>
      </w:r>
      <w:r w:rsidRPr="001C5C77">
        <w:t xml:space="preserve"> района при формировании </w:t>
      </w:r>
      <w:r w:rsidR="003A07CB">
        <w:t>В</w:t>
      </w:r>
      <w:r w:rsidRPr="001C5C77">
        <w:t>едомственного перечня вправе включить в него дополнительно: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а) отдельные виды товаров, работ, услуг, не указанные в обязательном перечне и не соответствующие критериям, указанным в пункте 5 настоящих Правил;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б) характеристики (свойства) товаров, работ, услуг, не включенные в </w:t>
      </w:r>
      <w:r w:rsidR="003A07CB">
        <w:t>О</w:t>
      </w:r>
      <w:r w:rsidRPr="001C5C77">
        <w:t>бязательный перечень и не приводящие к необоснованным ограничениям участников закупки;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</w:r>
      <w:proofErr w:type="gramStart"/>
      <w:r w:rsidRPr="001C5C77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</w:t>
      </w:r>
      <w:proofErr w:type="gramEnd"/>
      <w:r w:rsidRPr="001C5C77">
        <w:t xml:space="preserve">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г) иные сведения, касающиеся закупки товаров, работ, услуг, не предусмотренные настоящими Правилами.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 xml:space="preserve">9. </w:t>
      </w:r>
      <w:proofErr w:type="gramStart"/>
      <w:r w:rsidRPr="001C5C77">
        <w:t xml:space="preserve">Ведомственный перечень, утвержденный муниципальными органами </w:t>
      </w:r>
      <w:r w:rsidR="00791F3F">
        <w:t>Притобольного</w:t>
      </w:r>
      <w:r w:rsidRPr="001C5C77">
        <w:t xml:space="preserve"> района, должен позволять обеспечить муниципальные нужды, но не приводить к 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</w:t>
      </w:r>
      <w:proofErr w:type="gramEnd"/>
      <w:r w:rsidRPr="001C5C77">
        <w:t xml:space="preserve"> в соответствии с законодательством Российской Федерации.</w:t>
      </w:r>
    </w:p>
    <w:p w:rsidR="006C13C4" w:rsidRPr="001C5C77" w:rsidRDefault="006C13C4" w:rsidP="003A07CB">
      <w:pPr>
        <w:jc w:val="both"/>
      </w:pPr>
      <w:r w:rsidRPr="001C5C77">
        <w:tab/>
        <w:t xml:space="preserve">10. Обязательный перечень и </w:t>
      </w:r>
      <w:r w:rsidR="003A07CB">
        <w:t>В</w:t>
      </w:r>
      <w:r w:rsidRPr="001C5C77">
        <w:t>едомственный перечень формируются с учетом:</w:t>
      </w:r>
    </w:p>
    <w:p w:rsidR="006C13C4" w:rsidRPr="001C5C77" w:rsidRDefault="006C13C4" w:rsidP="003A07CB">
      <w:pPr>
        <w:jc w:val="both"/>
      </w:pPr>
      <w:bookmarkStart w:id="1" w:name="sub_2024"/>
      <w:r w:rsidRPr="001C5C77">
        <w:tab/>
        <w:t xml:space="preserve">а) положений технических регламентов, стандартов и иных положений, предусмотренных </w:t>
      </w:r>
      <w:r w:rsidRPr="00FB2585">
        <w:t xml:space="preserve">законодательством Российской Федерации, в том числе </w:t>
      </w:r>
      <w:hyperlink r:id="rId7" w:history="1">
        <w:r w:rsidRPr="00FB2585">
          <w:t>законодательством</w:t>
        </w:r>
      </w:hyperlink>
      <w:r w:rsidRPr="00FB2585">
        <w:t xml:space="preserve"> Российской Федерации об энергосбережении и о повышении энергетической эффективности и законодательством</w:t>
      </w:r>
      <w:r w:rsidRPr="001C5C77">
        <w:t xml:space="preserve"> Российской Федерации в области охраны окружающей среды;</w:t>
      </w:r>
    </w:p>
    <w:p w:rsidR="006C13C4" w:rsidRPr="001C5C77" w:rsidRDefault="006C13C4" w:rsidP="003A07CB">
      <w:pPr>
        <w:jc w:val="both"/>
      </w:pPr>
      <w:bookmarkStart w:id="2" w:name="sub_2025"/>
      <w:bookmarkEnd w:id="1"/>
      <w:r w:rsidRPr="001C5C77">
        <w:lastRenderedPageBreak/>
        <w:tab/>
        <w:t xml:space="preserve">б) положений </w:t>
      </w:r>
      <w:hyperlink r:id="rId8" w:history="1">
        <w:r w:rsidRPr="00FB2585">
          <w:t>статьи 33</w:t>
        </w:r>
      </w:hyperlink>
      <w:r w:rsidRPr="00FB2585">
        <w:t xml:space="preserve"> </w:t>
      </w:r>
      <w:r w:rsidRPr="001C5C77">
        <w:t>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C13C4" w:rsidRPr="001C5C77" w:rsidRDefault="006C13C4" w:rsidP="003A07CB">
      <w:pPr>
        <w:jc w:val="both"/>
      </w:pPr>
      <w:bookmarkStart w:id="3" w:name="sub_2026"/>
      <w:bookmarkEnd w:id="2"/>
      <w:r w:rsidRPr="001C5C77">
        <w:tab/>
        <w:t xml:space="preserve">в) принципа обеспечения конкуренции, </w:t>
      </w:r>
      <w:r w:rsidRPr="00FB2585">
        <w:t xml:space="preserve">определенного </w:t>
      </w:r>
      <w:hyperlink r:id="rId9" w:history="1">
        <w:r w:rsidRPr="00FB2585">
          <w:t>статьей 8</w:t>
        </w:r>
      </w:hyperlink>
      <w:r w:rsidRPr="001C5C77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bookmarkEnd w:id="3"/>
    </w:p>
    <w:p w:rsidR="006C13C4" w:rsidRPr="001C5C77" w:rsidRDefault="006C13C4" w:rsidP="003A07CB">
      <w:pPr>
        <w:jc w:val="both"/>
      </w:pPr>
      <w:r w:rsidRPr="001C5C77">
        <w:tab/>
        <w:t xml:space="preserve">11. </w:t>
      </w:r>
      <w:proofErr w:type="gramStart"/>
      <w:r w:rsidRPr="001C5C77"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</w:t>
      </w:r>
      <w:r w:rsidR="005A7189">
        <w:t xml:space="preserve"> Притобольного района</w:t>
      </w:r>
      <w:r w:rsidRPr="001C5C77">
        <w:t xml:space="preserve"> и подведомственных им казенных учреждений в соответствии с правилами определения нормативных затрат на обеспечение функций муниципальных органов и подведомс</w:t>
      </w:r>
      <w:r w:rsidR="005A7189">
        <w:t>твенных им казенных учреждений</w:t>
      </w:r>
      <w:r w:rsidRPr="001C5C77">
        <w:t>, утвержденными муниципальными органами</w:t>
      </w:r>
      <w:r w:rsidR="005A7189">
        <w:t xml:space="preserve"> Притобольного района</w:t>
      </w:r>
      <w:r w:rsidRPr="001C5C77">
        <w:t>, устанавливаются</w:t>
      </w:r>
      <w:proofErr w:type="gramEnd"/>
      <w:r w:rsidRPr="001C5C77">
        <w:t xml:space="preserve"> с учетом категорий и (или) групп должностей работников.</w:t>
      </w:r>
    </w:p>
    <w:p w:rsidR="006C13C4" w:rsidRPr="001C5C77" w:rsidRDefault="006C13C4" w:rsidP="003A07CB">
      <w:pPr>
        <w:jc w:val="both"/>
      </w:pPr>
      <w:r w:rsidRPr="001C5C77">
        <w:tab/>
        <w:t xml:space="preserve">12.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3A07CB">
        <w:t>В</w:t>
      </w:r>
      <w:r w:rsidRPr="001C5C77">
        <w:t>едомственном перечне.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13. Предельные цены товаров, работ, услуг, установ</w:t>
      </w:r>
      <w:r w:rsidR="005A7189">
        <w:t>ленные муниципальными органами Притобольного</w:t>
      </w:r>
      <w:r w:rsidRPr="001C5C77">
        <w:t xml:space="preserve"> района не могут превышать предельные цены товаров, работ, услуг, установленные Администрацией </w:t>
      </w:r>
      <w:r w:rsidR="005A7189">
        <w:t>Притобольного</w:t>
      </w:r>
      <w:r w:rsidRPr="001C5C77">
        <w:t xml:space="preserve"> района при утверждении правил определения нормативных затрат на обеспечение функций муниципальных органов </w:t>
      </w:r>
      <w:r w:rsidR="005A7189">
        <w:t>Притобольного</w:t>
      </w:r>
      <w:r w:rsidR="003A07CB">
        <w:t xml:space="preserve"> </w:t>
      </w:r>
      <w:r w:rsidRPr="001C5C77">
        <w:t>района и подведомственных им казенных учреждений</w:t>
      </w:r>
      <w:r w:rsidR="005A7189">
        <w:t>.</w:t>
      </w:r>
    </w:p>
    <w:p w:rsidR="006C13C4" w:rsidRPr="001C5C77" w:rsidRDefault="006C13C4" w:rsidP="003A07CB">
      <w:pPr>
        <w:pStyle w:val="a8"/>
        <w:shd w:val="clear" w:color="auto" w:fill="FFFFFF"/>
        <w:spacing w:before="0" w:beforeAutospacing="0" w:after="0" w:afterAutospacing="0"/>
        <w:jc w:val="both"/>
      </w:pPr>
      <w:r w:rsidRPr="001C5C77">
        <w:tab/>
        <w:t>14. Требования к отдельным видам товаров, работ, услуг, закупаемых муниципальными органами и подведомственными им казенными учреждениями</w:t>
      </w:r>
      <w:r w:rsidR="005A7189">
        <w:t xml:space="preserve">, </w:t>
      </w:r>
      <w:r w:rsidRPr="001C5C77"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6C13C4" w:rsidRPr="001C5C77" w:rsidRDefault="006C13C4" w:rsidP="003A07CB">
      <w:pPr>
        <w:jc w:val="both"/>
      </w:pPr>
      <w:r w:rsidRPr="001C5C77">
        <w:tab/>
        <w:t xml:space="preserve">15. </w:t>
      </w:r>
      <w:proofErr w:type="gramStart"/>
      <w:r w:rsidRPr="001C5C77"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настоящих Правилах, и закупаемых для муниципальных служащих, относящихся к категории «руководители»,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работ</w:t>
      </w:r>
      <w:proofErr w:type="gramEnd"/>
      <w:r w:rsidRPr="001C5C77">
        <w:t>, услуг (в том числе предельных цен товаров, работ, услуг), установленных правилами определения требований.</w:t>
      </w:r>
    </w:p>
    <w:p w:rsidR="006C13C4" w:rsidRPr="001C5C77" w:rsidRDefault="006C13C4" w:rsidP="003A07CB">
      <w:pPr>
        <w:jc w:val="both"/>
      </w:pPr>
      <w:r w:rsidRPr="001C5C77">
        <w:tab/>
        <w:t xml:space="preserve">16. </w:t>
      </w:r>
      <w:bookmarkStart w:id="4" w:name="sub_2032"/>
      <w:proofErr w:type="gramStart"/>
      <w:r w:rsidRPr="001C5C77"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и закупаемых для работников муниципальных органов </w:t>
      </w:r>
      <w:r w:rsidR="005A7189">
        <w:t xml:space="preserve">Притобольного </w:t>
      </w:r>
      <w:r w:rsidRPr="001C5C77">
        <w:t xml:space="preserve">района, не являющихся их руководителями, работников казенных учреждений, не являющихся их руководителями, </w:t>
      </w:r>
      <w:bookmarkEnd w:id="4"/>
      <w:r w:rsidRPr="001C5C77">
        <w:t xml:space="preserve">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</w:t>
      </w:r>
      <w:proofErr w:type="gramEnd"/>
      <w:r w:rsidRPr="001C5C77">
        <w:t xml:space="preserve"> видов товаров, работ, услуг (в том числе предельных цен товаров, работ, услуг), установленных правилами определения требований, утверждаемыми муниципальными органами должности специалисты".</w:t>
      </w:r>
    </w:p>
    <w:p w:rsidR="006C13C4" w:rsidRPr="001C5C77" w:rsidRDefault="006C13C4" w:rsidP="003A07CB">
      <w:pPr>
        <w:jc w:val="both"/>
      </w:pPr>
      <w:r w:rsidRPr="001C5C77">
        <w:tab/>
        <w:t xml:space="preserve">17.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3A07CB">
        <w:t>В</w:t>
      </w:r>
      <w:r w:rsidRPr="001C5C77">
        <w:t>едомственный перечень, устанавливаются:</w:t>
      </w:r>
    </w:p>
    <w:p w:rsidR="006C13C4" w:rsidRPr="001C5C77" w:rsidRDefault="006C13C4" w:rsidP="003A07CB">
      <w:pPr>
        <w:jc w:val="both"/>
      </w:pPr>
      <w:r w:rsidRPr="001C5C77">
        <w:tab/>
      </w:r>
      <w:proofErr w:type="gramStart"/>
      <w:r w:rsidRPr="001C5C77">
        <w:t xml:space="preserve">а) с учетом категорий и (или) групп должностей работников муниципальных органов </w:t>
      </w:r>
      <w:r w:rsidR="005A7189">
        <w:t xml:space="preserve">Притобольного района </w:t>
      </w:r>
      <w:r w:rsidRPr="001C5C77">
        <w:t xml:space="preserve">и  подведомственных им казенных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 и подведомственных им казенных учреждений, утвержденными постановлением  Администрации </w:t>
      </w:r>
      <w:r w:rsidR="005A7189">
        <w:t>Притобольного</w:t>
      </w:r>
      <w:r w:rsidRPr="001C5C77">
        <w:t xml:space="preserve"> района от ____ _____________ № ______ «Об утверждении правил определения нормативных затрат на обеспече</w:t>
      </w:r>
      <w:r w:rsidRPr="001C5C77">
        <w:softHyphen/>
        <w:t xml:space="preserve">ние функций муниципальных органов </w:t>
      </w:r>
      <w:r w:rsidR="005A7189">
        <w:t>Притобольного</w:t>
      </w:r>
      <w:r w:rsidRPr="001C5C77">
        <w:t xml:space="preserve"> района</w:t>
      </w:r>
      <w:proofErr w:type="gramEnd"/>
      <w:r w:rsidRPr="001C5C77">
        <w:t xml:space="preserve"> и подве</w:t>
      </w:r>
      <w:r w:rsidRPr="001C5C77">
        <w:softHyphen/>
        <w:t>домственных им казенных учреждений</w:t>
      </w:r>
      <w:r w:rsidR="005A7189">
        <w:t xml:space="preserve"> Притобольного района</w:t>
      </w:r>
      <w:r w:rsidRPr="001C5C77">
        <w:t>» (далее - требования к определению нормативных затрат), определяются с учетом категорий и (или) групп должностей работников;</w:t>
      </w:r>
    </w:p>
    <w:p w:rsidR="006C13C4" w:rsidRPr="001C5C77" w:rsidRDefault="006C13C4" w:rsidP="003A07CB">
      <w:pPr>
        <w:jc w:val="both"/>
      </w:pPr>
      <w:r w:rsidRPr="001C5C77">
        <w:tab/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 – в случае принятия соответствующего решения муниципальным органом</w:t>
      </w:r>
      <w:r w:rsidR="005A7189">
        <w:t xml:space="preserve"> Притобольного района</w:t>
      </w:r>
      <w:r w:rsidRPr="001C5C77">
        <w:t>.</w:t>
      </w:r>
    </w:p>
    <w:p w:rsidR="006C13C4" w:rsidRPr="001C5C77" w:rsidRDefault="006C13C4" w:rsidP="003A07CB">
      <w:pPr>
        <w:jc w:val="both"/>
      </w:pPr>
    </w:p>
    <w:p w:rsidR="006C13C4" w:rsidRPr="001C5C77" w:rsidRDefault="006C13C4" w:rsidP="003A07CB">
      <w:pPr>
        <w:jc w:val="both"/>
      </w:pPr>
    </w:p>
    <w:p w:rsidR="006C13C4" w:rsidRPr="001C5C77" w:rsidRDefault="006C13C4" w:rsidP="003A07CB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333333"/>
        </w:rPr>
      </w:pPr>
    </w:p>
    <w:p w:rsidR="006C13C4" w:rsidRPr="001C5C77" w:rsidRDefault="006C13C4" w:rsidP="003A07CB">
      <w:pPr>
        <w:pStyle w:val="a8"/>
        <w:shd w:val="clear" w:color="auto" w:fill="FFFFFF"/>
        <w:jc w:val="both"/>
        <w:rPr>
          <w:rFonts w:ascii="Arial" w:hAnsi="Arial" w:cs="Arial"/>
          <w:color w:val="333333"/>
        </w:rPr>
      </w:pPr>
      <w:r w:rsidRPr="001C5C77">
        <w:rPr>
          <w:rFonts w:ascii="Arial" w:hAnsi="Arial" w:cs="Arial"/>
          <w:color w:val="333333"/>
        </w:rPr>
        <w:t> </w:t>
      </w:r>
    </w:p>
    <w:p w:rsidR="006C13C4" w:rsidRPr="001C5C77" w:rsidRDefault="006C13C4" w:rsidP="003A07CB">
      <w:pPr>
        <w:pStyle w:val="a8"/>
        <w:shd w:val="clear" w:color="auto" w:fill="FFFFFF"/>
        <w:jc w:val="both"/>
        <w:rPr>
          <w:rFonts w:ascii="Arial" w:hAnsi="Arial" w:cs="Arial"/>
          <w:color w:val="333333"/>
        </w:rPr>
        <w:sectPr w:rsidR="006C13C4" w:rsidRPr="001C5C77" w:rsidSect="00FB2585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1C5C77">
        <w:rPr>
          <w:rFonts w:ascii="Arial" w:hAnsi="Arial" w:cs="Arial"/>
          <w:color w:val="333333"/>
        </w:rPr>
        <w:t> </w:t>
      </w:r>
    </w:p>
    <w:tbl>
      <w:tblPr>
        <w:tblStyle w:val="ab"/>
        <w:tblW w:w="144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48"/>
        <w:gridCol w:w="5812"/>
      </w:tblGrid>
      <w:tr w:rsidR="006C13C4" w:rsidRPr="005121A0" w:rsidTr="006C13C4">
        <w:tc>
          <w:tcPr>
            <w:tcW w:w="8648" w:type="dxa"/>
          </w:tcPr>
          <w:p w:rsidR="006C13C4" w:rsidRPr="001C5C77" w:rsidRDefault="006C13C4" w:rsidP="003A07CB">
            <w:pPr>
              <w:pStyle w:val="a0"/>
              <w:tabs>
                <w:tab w:val="left" w:pos="863"/>
              </w:tabs>
              <w:ind w:right="-21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C13C4" w:rsidRPr="00FB2585" w:rsidRDefault="005E375C" w:rsidP="003A07CB">
            <w:pPr>
              <w:pStyle w:val="a0"/>
              <w:tabs>
                <w:tab w:val="left" w:pos="863"/>
              </w:tabs>
              <w:ind w:left="459" w:right="-21"/>
              <w:jc w:val="both"/>
            </w:pPr>
            <w:r w:rsidRPr="00FB2585">
              <w:t>Приложение 1</w:t>
            </w:r>
          </w:p>
          <w:p w:rsidR="006C13C4" w:rsidRPr="005121A0" w:rsidRDefault="006C13C4" w:rsidP="00FB2585">
            <w:pPr>
              <w:widowControl w:val="0"/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5121A0">
              <w:t>к  Правилам определения требований к</w:t>
            </w:r>
            <w:r w:rsidR="005E375C" w:rsidRPr="005121A0">
              <w:t xml:space="preserve"> отдельным видам товаров, работ, услуг (в том числе предельные цены товаров, работ, услуг)</w:t>
            </w:r>
            <w:r w:rsidRPr="005121A0">
              <w:t xml:space="preserve"> закупаемым муниципальными</w:t>
            </w:r>
            <w:r w:rsidR="005E375C">
              <w:t xml:space="preserve"> органами Притобольного района</w:t>
            </w:r>
            <w:r w:rsidRPr="005121A0">
              <w:t xml:space="preserve"> и подведомственными им казенными учреждениями</w:t>
            </w:r>
          </w:p>
        </w:tc>
      </w:tr>
    </w:tbl>
    <w:p w:rsidR="006C13C4" w:rsidRPr="001C5C77" w:rsidRDefault="006C13C4" w:rsidP="003A07CB">
      <w:pPr>
        <w:pStyle w:val="1"/>
        <w:shd w:val="clear" w:color="auto" w:fill="FFFFFF"/>
        <w:spacing w:before="0" w:after="0"/>
        <w:ind w:left="8789"/>
        <w:jc w:val="both"/>
        <w:rPr>
          <w:rFonts w:hint="eastAsia"/>
          <w:sz w:val="24"/>
          <w:szCs w:val="24"/>
        </w:rPr>
      </w:pPr>
    </w:p>
    <w:p w:rsidR="006C13C4" w:rsidRPr="001C5C77" w:rsidRDefault="006C13C4" w:rsidP="005E375C">
      <w:pPr>
        <w:widowControl w:val="0"/>
        <w:ind w:left="360"/>
        <w:jc w:val="center"/>
        <w:rPr>
          <w:rFonts w:eastAsia="Courier New"/>
          <w:color w:val="000000"/>
        </w:rPr>
      </w:pPr>
      <w:r w:rsidRPr="001C5C77">
        <w:rPr>
          <w:rFonts w:eastAsia="Courier New"/>
          <w:color w:val="000000"/>
          <w:shd w:val="clear" w:color="auto" w:fill="FFFFFF"/>
        </w:rPr>
        <w:t xml:space="preserve">ПРИМЕРНАЯ ФОРМА </w:t>
      </w:r>
      <w:proofErr w:type="gramStart"/>
      <w:r w:rsidRPr="001C5C77">
        <w:rPr>
          <w:rFonts w:eastAsia="Courier New"/>
          <w:color w:val="000000"/>
          <w:shd w:val="clear" w:color="auto" w:fill="FFFFFF"/>
        </w:rPr>
        <w:t>ВЕДОМСТВЕННОГО</w:t>
      </w:r>
      <w:proofErr w:type="gramEnd"/>
      <w:r w:rsidRPr="001C5C77">
        <w:rPr>
          <w:rFonts w:eastAsia="Courier New"/>
          <w:color w:val="000000"/>
          <w:shd w:val="clear" w:color="auto" w:fill="FFFFFF"/>
        </w:rPr>
        <w:t xml:space="preserve"> ПЕРЕЧЕНЯ</w:t>
      </w:r>
    </w:p>
    <w:p w:rsidR="006C13C4" w:rsidRPr="001C5C77" w:rsidRDefault="006C13C4" w:rsidP="005E375C">
      <w:pPr>
        <w:jc w:val="center"/>
        <w:rPr>
          <w:rFonts w:eastAsia="Courier New"/>
        </w:rPr>
      </w:pPr>
      <w:r w:rsidRPr="001C5C77">
        <w:rPr>
          <w:rFonts w:eastAsia="Courier New"/>
          <w:color w:val="000000"/>
        </w:rPr>
        <w:t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tbl>
      <w:tblPr>
        <w:tblW w:w="1616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655"/>
        <w:gridCol w:w="1482"/>
        <w:gridCol w:w="575"/>
        <w:gridCol w:w="1483"/>
        <w:gridCol w:w="1606"/>
        <w:gridCol w:w="2466"/>
        <w:gridCol w:w="1640"/>
        <w:gridCol w:w="1588"/>
        <w:gridCol w:w="1636"/>
        <w:gridCol w:w="2730"/>
      </w:tblGrid>
      <w:tr w:rsidR="006C13C4" w:rsidRPr="001C5C77" w:rsidTr="00FB2585">
        <w:trPr>
          <w:trHeight w:val="5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5C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5C77">
              <w:rPr>
                <w:sz w:val="20"/>
                <w:szCs w:val="20"/>
              </w:rPr>
              <w:t>/</w:t>
            </w:r>
            <w:proofErr w:type="spellStart"/>
            <w:r w:rsidRPr="001C5C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" w:type="dxa"/>
            <w:vMerge w:val="restart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Код по ОКПД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2058" w:type="dxa"/>
            <w:gridSpan w:val="2"/>
            <w:vMerge w:val="restart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66" w:type="dxa"/>
            <w:gridSpan w:val="6"/>
            <w:vAlign w:val="center"/>
            <w:hideMark/>
          </w:tcPr>
          <w:p w:rsidR="006C13C4" w:rsidRPr="001C5C77" w:rsidRDefault="006C13C4" w:rsidP="00FB2585">
            <w:pPr>
              <w:pStyle w:val="a8"/>
              <w:ind w:firstLine="169"/>
              <w:jc w:val="both"/>
              <w:rPr>
                <w:sz w:val="20"/>
                <w:szCs w:val="20"/>
              </w:rPr>
            </w:pPr>
            <w:r w:rsidRPr="001C5C77">
              <w:rPr>
                <w:rFonts w:eastAsia="Courier New"/>
                <w:color w:val="000000"/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</w:tc>
      </w:tr>
      <w:tr w:rsidR="006C13C4" w:rsidRPr="001C5C77" w:rsidTr="00FB2585">
        <w:trPr>
          <w:trHeight w:val="5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vAlign w:val="center"/>
            <w:hideMark/>
          </w:tcPr>
          <w:p w:rsidR="006C13C4" w:rsidRPr="001C5C77" w:rsidRDefault="006C13C4" w:rsidP="003A07CB">
            <w:pPr>
              <w:pStyle w:val="a8"/>
              <w:spacing w:before="0" w:beforeAutospacing="0" w:after="0" w:afterAutospacing="0"/>
              <w:ind w:left="169" w:right="46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Требования к потребительским свойствам </w:t>
            </w:r>
          </w:p>
          <w:p w:rsidR="006C13C4" w:rsidRPr="001C5C77" w:rsidRDefault="006C13C4" w:rsidP="003A07CB">
            <w:pPr>
              <w:pStyle w:val="a8"/>
              <w:spacing w:before="0" w:beforeAutospacing="0"/>
              <w:ind w:left="169" w:right="46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(в том числе качеству) и иным характеристикам, </w:t>
            </w:r>
            <w:proofErr w:type="gramStart"/>
            <w:r w:rsidRPr="001C5C77">
              <w:rPr>
                <w:sz w:val="20"/>
                <w:szCs w:val="20"/>
              </w:rPr>
              <w:t>утвержденные</w:t>
            </w:r>
            <w:proofErr w:type="gramEnd"/>
            <w:r w:rsidRPr="001C5C77">
              <w:rPr>
                <w:sz w:val="20"/>
                <w:szCs w:val="20"/>
              </w:rPr>
              <w:t xml:space="preserve"> Администрацией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1C5C7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594" w:type="dxa"/>
            <w:gridSpan w:val="4"/>
            <w:vAlign w:val="center"/>
            <w:hideMark/>
          </w:tcPr>
          <w:p w:rsidR="006C13C4" w:rsidRPr="001C5C77" w:rsidRDefault="006C13C4" w:rsidP="003A07CB">
            <w:pPr>
              <w:pStyle w:val="a8"/>
              <w:ind w:left="66" w:right="20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</w:t>
            </w:r>
            <w:r w:rsidR="00E044D1">
              <w:rPr>
                <w:sz w:val="20"/>
                <w:szCs w:val="20"/>
              </w:rPr>
              <w:t>е муниципальными органами</w:t>
            </w:r>
            <w:r w:rsidRPr="001C5C77">
              <w:rPr>
                <w:sz w:val="20"/>
                <w:szCs w:val="20"/>
              </w:rPr>
              <w:t xml:space="preserve">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1C5C77">
              <w:rPr>
                <w:sz w:val="20"/>
                <w:szCs w:val="20"/>
              </w:rPr>
              <w:t xml:space="preserve"> района </w:t>
            </w:r>
          </w:p>
        </w:tc>
      </w:tr>
      <w:tr w:rsidR="006C13C4" w:rsidRPr="001C5C77" w:rsidTr="00FB258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C13C4" w:rsidRPr="001C5C77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C13C4" w:rsidRPr="001C5C77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6C13C4" w:rsidRPr="001C5C77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Код по ОКЕИ</w:t>
            </w:r>
          </w:p>
        </w:tc>
        <w:tc>
          <w:tcPr>
            <w:tcW w:w="1483" w:type="dxa"/>
            <w:vAlign w:val="center"/>
            <w:hideMark/>
          </w:tcPr>
          <w:p w:rsidR="006C13C4" w:rsidRPr="001C5C77" w:rsidRDefault="006C13C4" w:rsidP="003A07CB">
            <w:pPr>
              <w:pStyle w:val="a8"/>
              <w:ind w:left="154" w:right="50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ind w:left="134" w:right="70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66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Значение </w:t>
            </w:r>
          </w:p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ind w:left="132" w:right="106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ind w:left="147" w:right="65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ind w:left="47" w:right="90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1C5C77">
              <w:rPr>
                <w:sz w:val="20"/>
                <w:szCs w:val="20"/>
              </w:rPr>
              <w:t>от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  <w:proofErr w:type="gramStart"/>
            <w:r w:rsidRPr="001C5C77">
              <w:rPr>
                <w:sz w:val="20"/>
                <w:szCs w:val="20"/>
              </w:rPr>
              <w:t>утвержденной</w:t>
            </w:r>
            <w:proofErr w:type="gramEnd"/>
            <w:r w:rsidRPr="001C5C77">
              <w:rPr>
                <w:sz w:val="20"/>
                <w:szCs w:val="20"/>
              </w:rPr>
              <w:t xml:space="preserve"> Администрацией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1C5C7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730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6C13C4" w:rsidRPr="001C5C77" w:rsidTr="00FB2585">
        <w:trPr>
          <w:tblCellSpacing w:w="0" w:type="dxa"/>
        </w:trPr>
        <w:tc>
          <w:tcPr>
            <w:tcW w:w="16161" w:type="dxa"/>
            <w:gridSpan w:val="11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1C5C77">
              <w:rPr>
                <w:sz w:val="20"/>
                <w:szCs w:val="20"/>
              </w:rPr>
              <w:t xml:space="preserve"> района муниципальными органами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1C5C77">
              <w:rPr>
                <w:sz w:val="20"/>
                <w:szCs w:val="20"/>
              </w:rPr>
              <w:t xml:space="preserve"> района и подведомственными им казенными учреждениями</w:t>
            </w:r>
            <w:r w:rsidR="00E044D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6C13C4" w:rsidRPr="001C5C77" w:rsidTr="00FB2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1.</w:t>
            </w:r>
          </w:p>
        </w:tc>
        <w:tc>
          <w:tcPr>
            <w:tcW w:w="655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</w:tr>
      <w:tr w:rsidR="006C13C4" w:rsidRPr="001C5C77" w:rsidTr="00FB2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</w:tr>
      <w:tr w:rsidR="006C13C4" w:rsidRPr="001C5C77" w:rsidTr="00FB2585">
        <w:trPr>
          <w:tblCellSpacing w:w="0" w:type="dxa"/>
        </w:trPr>
        <w:tc>
          <w:tcPr>
            <w:tcW w:w="16161" w:type="dxa"/>
            <w:gridSpan w:val="11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Дополнительный перечень отдельных товаров, работ, услуг, определенный муниципальными органами</w:t>
            </w:r>
            <w:r w:rsidR="00E044D1">
              <w:rPr>
                <w:sz w:val="20"/>
                <w:szCs w:val="20"/>
              </w:rPr>
              <w:t xml:space="preserve"> Притобольного</w:t>
            </w:r>
            <w:r w:rsidRPr="001C5C77">
              <w:rPr>
                <w:sz w:val="20"/>
                <w:szCs w:val="20"/>
              </w:rPr>
              <w:t xml:space="preserve"> района</w:t>
            </w:r>
          </w:p>
        </w:tc>
      </w:tr>
      <w:tr w:rsidR="006C13C4" w:rsidRPr="001C5C77" w:rsidTr="00FB2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1.</w:t>
            </w:r>
          </w:p>
        </w:tc>
        <w:tc>
          <w:tcPr>
            <w:tcW w:w="655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6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0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C13C4" w:rsidRPr="001C5C77" w:rsidTr="00FB2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66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30" w:type="dxa"/>
            <w:vAlign w:val="center"/>
            <w:hideMark/>
          </w:tcPr>
          <w:p w:rsidR="006C13C4" w:rsidRPr="001C5C77" w:rsidRDefault="006C13C4" w:rsidP="003A07CB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1C5C77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C13C4" w:rsidRDefault="006C13C4" w:rsidP="003A07CB">
      <w:pPr>
        <w:jc w:val="both"/>
        <w:rPr>
          <w:rFonts w:eastAsia="Courier New"/>
          <w:color w:val="000000"/>
          <w:sz w:val="20"/>
          <w:szCs w:val="20"/>
          <w:shd w:val="clear" w:color="auto" w:fill="FFFFFF"/>
        </w:rPr>
      </w:pPr>
      <w:r w:rsidRPr="001C5C77">
        <w:rPr>
          <w:rFonts w:eastAsia="Courier New"/>
          <w:color w:val="000000"/>
          <w:sz w:val="20"/>
          <w:szCs w:val="20"/>
          <w:shd w:val="clear" w:color="auto" w:fill="FFFFFF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6C13C4" w:rsidRDefault="006C13C4" w:rsidP="003A07CB">
      <w:pPr>
        <w:jc w:val="both"/>
        <w:rPr>
          <w:rFonts w:eastAsia="Courier New"/>
          <w:color w:val="000000"/>
          <w:sz w:val="20"/>
          <w:szCs w:val="20"/>
          <w:shd w:val="clear" w:color="auto" w:fill="FFFFFF"/>
        </w:rPr>
      </w:pPr>
    </w:p>
    <w:p w:rsidR="005E375C" w:rsidRDefault="005E375C" w:rsidP="003A07CB">
      <w:pPr>
        <w:pStyle w:val="80"/>
        <w:shd w:val="clear" w:color="auto" w:fill="auto"/>
        <w:spacing w:after="0"/>
        <w:ind w:left="9639" w:right="119"/>
        <w:jc w:val="both"/>
        <w:rPr>
          <w:rStyle w:val="8"/>
          <w:color w:val="000000"/>
        </w:rPr>
      </w:pPr>
    </w:p>
    <w:p w:rsidR="005E375C" w:rsidRDefault="005E375C" w:rsidP="003A07CB">
      <w:pPr>
        <w:pStyle w:val="80"/>
        <w:shd w:val="clear" w:color="auto" w:fill="auto"/>
        <w:spacing w:after="0"/>
        <w:ind w:left="9639" w:right="119"/>
        <w:jc w:val="both"/>
        <w:rPr>
          <w:rStyle w:val="8"/>
          <w:color w:val="000000"/>
        </w:rPr>
      </w:pPr>
    </w:p>
    <w:p w:rsidR="006C13C4" w:rsidRPr="00FB2585" w:rsidRDefault="005E375C" w:rsidP="003A07CB">
      <w:pPr>
        <w:pStyle w:val="80"/>
        <w:shd w:val="clear" w:color="auto" w:fill="auto"/>
        <w:spacing w:after="0"/>
        <w:ind w:left="9639" w:right="119"/>
        <w:jc w:val="both"/>
        <w:rPr>
          <w:rStyle w:val="8"/>
          <w:color w:val="000000"/>
          <w:sz w:val="24"/>
          <w:szCs w:val="24"/>
        </w:rPr>
      </w:pPr>
      <w:r w:rsidRPr="00FB2585">
        <w:rPr>
          <w:rStyle w:val="8"/>
          <w:color w:val="000000"/>
          <w:sz w:val="24"/>
          <w:szCs w:val="24"/>
        </w:rPr>
        <w:lastRenderedPageBreak/>
        <w:t xml:space="preserve">Приложение </w:t>
      </w:r>
      <w:r w:rsidR="006C13C4" w:rsidRPr="00FB2585">
        <w:rPr>
          <w:rStyle w:val="8"/>
          <w:color w:val="000000"/>
          <w:sz w:val="24"/>
          <w:szCs w:val="24"/>
        </w:rPr>
        <w:t xml:space="preserve"> 2</w:t>
      </w:r>
    </w:p>
    <w:p w:rsidR="006C13C4" w:rsidRPr="00FB2585" w:rsidRDefault="006C13C4" w:rsidP="003A07CB">
      <w:pPr>
        <w:widowControl w:val="0"/>
        <w:autoSpaceDE w:val="0"/>
        <w:ind w:left="9639"/>
        <w:jc w:val="both"/>
      </w:pPr>
      <w:r w:rsidRPr="00FB2585">
        <w:t xml:space="preserve">к Правилам определения требований к </w:t>
      </w:r>
      <w:r w:rsidR="00E044D1" w:rsidRPr="00FB2585">
        <w:t xml:space="preserve">отдельным видам товаров, работ, услуг (в том числе предельные цены товаров, работ, услуг) </w:t>
      </w:r>
      <w:r w:rsidRPr="00FB2585">
        <w:t>закупаемым муниципальными</w:t>
      </w:r>
      <w:r w:rsidR="00E044D1" w:rsidRPr="00FB2585">
        <w:t xml:space="preserve"> органами Притобольного района</w:t>
      </w:r>
      <w:r w:rsidRPr="00FB2585">
        <w:t xml:space="preserve"> и подведомственными им казенными учреждениями</w:t>
      </w:r>
      <w:r w:rsidR="00E044D1" w:rsidRPr="00FB2585">
        <w:t>.</w:t>
      </w:r>
    </w:p>
    <w:p w:rsidR="006C13C4" w:rsidRPr="00FB2585" w:rsidRDefault="006C13C4" w:rsidP="003A07CB">
      <w:pPr>
        <w:pStyle w:val="1"/>
        <w:shd w:val="clear" w:color="auto" w:fill="FFFFFF"/>
        <w:spacing w:before="0" w:after="0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13C4" w:rsidRPr="00560073" w:rsidRDefault="006C13C4" w:rsidP="003A07CB">
      <w:pPr>
        <w:pStyle w:val="1"/>
        <w:shd w:val="clear" w:color="auto" w:fill="FFFFFF"/>
        <w:spacing w:before="0" w:after="0"/>
        <w:ind w:left="878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C13C4" w:rsidRPr="00743916" w:rsidRDefault="006C13C4" w:rsidP="003A07CB">
      <w:pPr>
        <w:pStyle w:val="a0"/>
        <w:tabs>
          <w:tab w:val="left" w:pos="863"/>
        </w:tabs>
        <w:ind w:left="8789" w:right="-21"/>
        <w:jc w:val="both"/>
        <w:rPr>
          <w:sz w:val="20"/>
          <w:szCs w:val="20"/>
        </w:rPr>
      </w:pPr>
    </w:p>
    <w:p w:rsidR="006C13C4" w:rsidRPr="00743916" w:rsidRDefault="006C13C4" w:rsidP="003A07CB">
      <w:pPr>
        <w:pStyle w:val="80"/>
        <w:shd w:val="clear" w:color="auto" w:fill="auto"/>
        <w:spacing w:after="0" w:line="240" w:lineRule="auto"/>
        <w:ind w:right="120"/>
        <w:jc w:val="both"/>
      </w:pPr>
    </w:p>
    <w:p w:rsidR="006C13C4" w:rsidRDefault="006C13C4" w:rsidP="005E375C">
      <w:pPr>
        <w:jc w:val="center"/>
        <w:rPr>
          <w:rFonts w:eastAsia="Courier New"/>
          <w:color w:val="000000"/>
        </w:rPr>
      </w:pPr>
      <w:r w:rsidRPr="00537F1B">
        <w:rPr>
          <w:rFonts w:eastAsia="Courier New"/>
          <w:color w:val="000000"/>
        </w:rPr>
        <w:t>ОБЯЗАТЕЛЬНЫЙ ПЕРЕЧЕНЬ</w:t>
      </w:r>
    </w:p>
    <w:p w:rsidR="006C13C4" w:rsidRDefault="006C13C4" w:rsidP="005E375C">
      <w:pPr>
        <w:jc w:val="center"/>
        <w:rPr>
          <w:rFonts w:eastAsia="Courier New"/>
          <w:color w:val="000000"/>
        </w:rPr>
      </w:pPr>
      <w:r>
        <w:rPr>
          <w:rFonts w:eastAsia="Courier New"/>
          <w:color w:val="000000"/>
        </w:rPr>
        <w:t>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</w:t>
      </w:r>
    </w:p>
    <w:p w:rsidR="006C13C4" w:rsidRPr="00F15433" w:rsidRDefault="006C13C4" w:rsidP="003A07CB">
      <w:pPr>
        <w:jc w:val="both"/>
        <w:rPr>
          <w:rFonts w:eastAsia="Courier New"/>
        </w:rPr>
      </w:pPr>
    </w:p>
    <w:tbl>
      <w:tblPr>
        <w:tblW w:w="1630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995"/>
        <w:gridCol w:w="2337"/>
        <w:gridCol w:w="2641"/>
        <w:gridCol w:w="537"/>
        <w:gridCol w:w="1004"/>
        <w:gridCol w:w="1711"/>
        <w:gridCol w:w="1488"/>
        <w:gridCol w:w="1480"/>
        <w:gridCol w:w="1430"/>
        <w:gridCol w:w="2398"/>
      </w:tblGrid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81695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69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695F">
              <w:rPr>
                <w:sz w:val="20"/>
                <w:szCs w:val="20"/>
              </w:rPr>
              <w:t>/</w:t>
            </w:r>
            <w:proofErr w:type="spellStart"/>
            <w:r w:rsidRPr="0081695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КОД по ОКПД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Требования к потребительским свойствам (в том числе качество) и иным характеристикам </w:t>
            </w:r>
            <w:proofErr w:type="gramStart"/>
            <w:r w:rsidRPr="0081695F">
              <w:rPr>
                <w:sz w:val="20"/>
                <w:szCs w:val="20"/>
              </w:rPr>
              <w:t xml:space="preserve">( </w:t>
            </w:r>
            <w:proofErr w:type="gramEnd"/>
            <w:r w:rsidRPr="0081695F">
              <w:rPr>
                <w:sz w:val="20"/>
                <w:szCs w:val="20"/>
              </w:rPr>
              <w:t xml:space="preserve">в том числе предельные цены) 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7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6C13C4" w:rsidRPr="0081695F" w:rsidTr="00FB2585">
        <w:trPr>
          <w:trHeight w:val="453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Код по ОКЕИ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ind w:left="9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1695F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7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Должности «Руководители», «Заместители руководителя», относящиеся к группе «Высшие»,  должности Главы </w:t>
            </w:r>
            <w:r w:rsidR="00E044D1">
              <w:rPr>
                <w:sz w:val="20"/>
                <w:szCs w:val="20"/>
              </w:rPr>
              <w:t>Притобольного</w:t>
            </w:r>
            <w:r w:rsidRPr="0081695F">
              <w:rPr>
                <w:sz w:val="20"/>
                <w:szCs w:val="20"/>
              </w:rPr>
              <w:t xml:space="preserve"> района, Председателя  </w:t>
            </w:r>
            <w:proofErr w:type="spellStart"/>
            <w:r w:rsidR="00E044D1">
              <w:rPr>
                <w:sz w:val="20"/>
                <w:szCs w:val="20"/>
              </w:rPr>
              <w:t>Притобольной</w:t>
            </w:r>
            <w:proofErr w:type="spellEnd"/>
            <w:r w:rsidRPr="0081695F">
              <w:rPr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Должности «Начальники отделов», относящиеся к группе «Высшие»*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ind w:left="189" w:right="46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Должности «Начальники отделов», относящиеся к группе «Главные»*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Должности «Специалисты», относящиеся к группе «Ведущие» и «Старшие»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Иные должности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rStyle w:val="aa"/>
                <w:rFonts w:eastAsia="Microsoft YaHei"/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rStyle w:val="aa"/>
                <w:rFonts w:eastAsia="Microsoft YaHei"/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rStyle w:val="aa"/>
                <w:rFonts w:eastAsia="Microsoft YaHei"/>
                <w:sz w:val="20"/>
                <w:szCs w:val="20"/>
              </w:rPr>
              <w:t>11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1.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30.02.12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81695F">
              <w:rPr>
                <w:sz w:val="20"/>
                <w:szCs w:val="20"/>
              </w:rPr>
              <w:lastRenderedPageBreak/>
              <w:t>«ноутбуки» и «</w:t>
            </w:r>
            <w:proofErr w:type="spellStart"/>
            <w:r w:rsidRPr="0081695F">
              <w:rPr>
                <w:sz w:val="20"/>
                <w:szCs w:val="20"/>
              </w:rPr>
              <w:t>сабноутбуки</w:t>
            </w:r>
            <w:proofErr w:type="spellEnd"/>
            <w:r w:rsidRPr="0081695F">
              <w:rPr>
                <w:sz w:val="20"/>
                <w:szCs w:val="20"/>
              </w:rPr>
              <w:t>»).</w:t>
            </w:r>
          </w:p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Вес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1695F">
              <w:rPr>
                <w:sz w:val="20"/>
                <w:szCs w:val="20"/>
              </w:rPr>
              <w:t>Wi-Fi</w:t>
            </w:r>
            <w:proofErr w:type="spellEnd"/>
            <w:r w:rsidRPr="0081695F">
              <w:rPr>
                <w:sz w:val="20"/>
                <w:szCs w:val="20"/>
              </w:rPr>
              <w:t xml:space="preserve">, </w:t>
            </w:r>
            <w:proofErr w:type="spellStart"/>
            <w:r w:rsidRPr="0081695F">
              <w:rPr>
                <w:sz w:val="20"/>
                <w:szCs w:val="20"/>
              </w:rPr>
              <w:t>Bluetooth</w:t>
            </w:r>
            <w:proofErr w:type="spellEnd"/>
            <w:r w:rsidRPr="0081695F">
              <w:rPr>
                <w:sz w:val="20"/>
                <w:szCs w:val="20"/>
              </w:rPr>
              <w:t>, поддержки 3G(UMTS)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2.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30.02.15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1695F">
              <w:rPr>
                <w:sz w:val="20"/>
                <w:szCs w:val="20"/>
              </w:rPr>
              <w:t>ств дл</w:t>
            </w:r>
            <w:proofErr w:type="gramEnd"/>
            <w:r w:rsidRPr="0081695F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30.02.16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Наличие дополнительных </w:t>
            </w:r>
            <w:r w:rsidRPr="0081695F">
              <w:rPr>
                <w:sz w:val="20"/>
                <w:szCs w:val="20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32.20.11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>Аппаратура</w:t>
            </w:r>
            <w:proofErr w:type="gramEnd"/>
            <w:r w:rsidRPr="0081695F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  <w:r w:rsidRPr="0081695F">
              <w:rPr>
                <w:rStyle w:val="apple-converted-space"/>
                <w:rFonts w:eastAsia="Microsoft YaHei"/>
                <w:sz w:val="20"/>
                <w:szCs w:val="20"/>
              </w:rPr>
              <w:t> </w:t>
            </w:r>
            <w:hyperlink r:id="rId10" w:anchor="_ftn2" w:history="1">
              <w:r w:rsidRPr="0081695F">
                <w:rPr>
                  <w:rStyle w:val="a7"/>
                  <w:color w:val="333333"/>
                  <w:sz w:val="20"/>
                  <w:szCs w:val="20"/>
                </w:rPr>
                <w:t>[2]</w:t>
              </w:r>
            </w:hyperlink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81695F">
              <w:rPr>
                <w:sz w:val="20"/>
                <w:szCs w:val="20"/>
              </w:rPr>
              <w:t>Wi-Fi</w:t>
            </w:r>
            <w:proofErr w:type="spellEnd"/>
            <w:r w:rsidRPr="0081695F">
              <w:rPr>
                <w:sz w:val="20"/>
                <w:szCs w:val="20"/>
              </w:rPr>
              <w:t xml:space="preserve">, </w:t>
            </w:r>
            <w:proofErr w:type="spellStart"/>
            <w:r w:rsidRPr="0081695F">
              <w:rPr>
                <w:sz w:val="20"/>
                <w:szCs w:val="20"/>
              </w:rPr>
              <w:t>Bleutooth</w:t>
            </w:r>
            <w:proofErr w:type="spellEnd"/>
            <w:r w:rsidRPr="0081695F">
              <w:rPr>
                <w:sz w:val="20"/>
                <w:szCs w:val="20"/>
              </w:rPr>
              <w:t>, USB, GPS)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>Стоимость годового владения оборудованием (включая договоры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рубль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не более 3,5 </w:t>
            </w:r>
            <w:proofErr w:type="spellStart"/>
            <w:proofErr w:type="gramStart"/>
            <w:r w:rsidRPr="0081695F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5.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34.10.22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Автомобили легковые</w:t>
            </w:r>
            <w:hyperlink r:id="rId11" w:anchor="_ftn3" w:history="1">
              <w:r w:rsidRPr="0081695F">
                <w:rPr>
                  <w:rStyle w:val="a7"/>
                  <w:color w:val="333333"/>
                  <w:sz w:val="20"/>
                  <w:szCs w:val="20"/>
                </w:rPr>
                <w:t>[3]</w:t>
              </w:r>
            </w:hyperlink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251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не более </w:t>
            </w:r>
            <w:r w:rsidR="00E044D1">
              <w:rPr>
                <w:sz w:val="20"/>
                <w:szCs w:val="20"/>
              </w:rPr>
              <w:t>15</w:t>
            </w:r>
            <w:r w:rsidRPr="0081695F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рубль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не более </w:t>
            </w:r>
            <w:r w:rsidR="00E044D1">
              <w:rPr>
                <w:sz w:val="20"/>
                <w:szCs w:val="20"/>
              </w:rPr>
              <w:t>1</w:t>
            </w:r>
            <w:r w:rsidRPr="0081695F">
              <w:rPr>
                <w:sz w:val="20"/>
                <w:szCs w:val="20"/>
              </w:rPr>
              <w:t>,5 млн.р.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6.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34.10.30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7.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34.10.41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8.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36.11.11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 xml:space="preserve">Предельное значение – кожа натуральная; возможные </w:t>
            </w:r>
            <w:r w:rsidRPr="0081695F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lastRenderedPageBreak/>
              <w:t>Предельное</w:t>
            </w:r>
            <w:r w:rsidR="00331B5A">
              <w:rPr>
                <w:sz w:val="20"/>
                <w:szCs w:val="20"/>
              </w:rPr>
              <w:t xml:space="preserve"> значение – искусственная кожа; </w:t>
            </w:r>
            <w:r w:rsidRPr="0081695F">
              <w:rPr>
                <w:sz w:val="20"/>
                <w:szCs w:val="20"/>
              </w:rPr>
              <w:lastRenderedPageBreak/>
              <w:t>возможные значения:,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lastRenderedPageBreak/>
              <w:t>Предельное значение –</w:t>
            </w:r>
            <w:r w:rsidR="00331B5A">
              <w:rPr>
                <w:sz w:val="20"/>
                <w:szCs w:val="20"/>
              </w:rPr>
              <w:t xml:space="preserve"> искусственная кожа,</w:t>
            </w:r>
            <w:r w:rsidRPr="0081695F">
              <w:rPr>
                <w:sz w:val="20"/>
                <w:szCs w:val="20"/>
              </w:rPr>
              <w:t xml:space="preserve"> </w:t>
            </w:r>
            <w:r w:rsidRPr="0081695F">
              <w:rPr>
                <w:sz w:val="20"/>
                <w:szCs w:val="20"/>
              </w:rPr>
              <w:lastRenderedPageBreak/>
              <w:t>возможные значения:,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Предельное значение</w:t>
            </w:r>
            <w:r w:rsidR="00331B5A">
              <w:rPr>
                <w:sz w:val="20"/>
                <w:szCs w:val="20"/>
              </w:rPr>
              <w:t xml:space="preserve"> – ткань; возможные </w:t>
            </w:r>
            <w:r w:rsidR="00331B5A">
              <w:rPr>
                <w:sz w:val="20"/>
                <w:szCs w:val="20"/>
              </w:rPr>
              <w:lastRenderedPageBreak/>
              <w:t>значения:</w:t>
            </w:r>
            <w:r w:rsidRPr="0081695F">
              <w:rPr>
                <w:sz w:val="20"/>
                <w:szCs w:val="20"/>
              </w:rPr>
              <w:t xml:space="preserve"> нетканые материалы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Предельное значени</w:t>
            </w:r>
            <w:r w:rsidR="00331B5A">
              <w:rPr>
                <w:sz w:val="20"/>
                <w:szCs w:val="20"/>
              </w:rPr>
              <w:t>е – ткань; возможные значения</w:t>
            </w:r>
            <w:proofErr w:type="gramStart"/>
            <w:r w:rsidR="00331B5A">
              <w:rPr>
                <w:sz w:val="20"/>
                <w:szCs w:val="20"/>
              </w:rPr>
              <w:t>:</w:t>
            </w:r>
            <w:r w:rsidRPr="0081695F">
              <w:rPr>
                <w:sz w:val="20"/>
                <w:szCs w:val="20"/>
              </w:rPr>
              <w:t xml:space="preserve">, </w:t>
            </w:r>
            <w:proofErr w:type="gramEnd"/>
            <w:r w:rsidRPr="0081695F">
              <w:rPr>
                <w:sz w:val="20"/>
                <w:szCs w:val="20"/>
              </w:rPr>
              <w:t>нетканые материалы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36.11.12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</w:p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</w:p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ind w:left="48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>Предельное значение – искусственная кожа; возможные значения: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1695F">
              <w:rPr>
                <w:sz w:val="20"/>
                <w:szCs w:val="20"/>
              </w:rPr>
              <w:t>Предельное значение – искусственная кожа; возможные значения: мебельный (искусственный мех), искусственная замша (</w:t>
            </w:r>
            <w:proofErr w:type="spellStart"/>
            <w:r w:rsidRPr="0081695F">
              <w:rPr>
                <w:sz w:val="20"/>
                <w:szCs w:val="20"/>
              </w:rPr>
              <w:t>микрофибра</w:t>
            </w:r>
            <w:proofErr w:type="spellEnd"/>
            <w:r w:rsidRPr="0081695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Предельное значение – ткань; возможные значения</w:t>
            </w:r>
            <w:proofErr w:type="gramStart"/>
            <w:r w:rsidRPr="0081695F">
              <w:rPr>
                <w:sz w:val="20"/>
                <w:szCs w:val="20"/>
              </w:rPr>
              <w:t xml:space="preserve">:, </w:t>
            </w:r>
            <w:proofErr w:type="gramEnd"/>
            <w:r w:rsidRPr="0081695F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Предельное значение – ткань; возможные значения</w:t>
            </w:r>
            <w:proofErr w:type="gramStart"/>
            <w:r w:rsidRPr="0081695F">
              <w:rPr>
                <w:sz w:val="20"/>
                <w:szCs w:val="20"/>
              </w:rPr>
              <w:t xml:space="preserve">:, </w:t>
            </w:r>
            <w:proofErr w:type="gramEnd"/>
            <w:r w:rsidRPr="0081695F">
              <w:rPr>
                <w:sz w:val="20"/>
                <w:szCs w:val="20"/>
              </w:rPr>
              <w:t>нетканые материалы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10.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36.12.11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Мебель металлическая для офисов, </w:t>
            </w:r>
            <w:r w:rsidRPr="0081695F">
              <w:rPr>
                <w:sz w:val="20"/>
                <w:szCs w:val="20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</w:tr>
      <w:tr w:rsidR="006C13C4" w:rsidRPr="0081695F" w:rsidTr="00FB2585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36.12.12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Мебель деревянная для офисов, </w:t>
            </w:r>
            <w:proofErr w:type="gramStart"/>
            <w:r w:rsidRPr="0081695F">
              <w:rPr>
                <w:sz w:val="20"/>
                <w:szCs w:val="20"/>
              </w:rPr>
              <w:t>административный</w:t>
            </w:r>
            <w:proofErr w:type="gramEnd"/>
            <w:r w:rsidRPr="0081695F">
              <w:rPr>
                <w:sz w:val="20"/>
                <w:szCs w:val="20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3C4" w:rsidRPr="0081695F" w:rsidRDefault="006C13C4" w:rsidP="003A07CB">
            <w:pPr>
              <w:jc w:val="both"/>
              <w:rPr>
                <w:sz w:val="20"/>
                <w:szCs w:val="20"/>
              </w:rPr>
            </w:pPr>
            <w:r w:rsidRPr="0081695F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1695F">
              <w:rPr>
                <w:sz w:val="20"/>
                <w:szCs w:val="20"/>
              </w:rPr>
              <w:t>мягколиственных</w:t>
            </w:r>
            <w:proofErr w:type="spellEnd"/>
            <w:r w:rsidRPr="0081695F">
              <w:rPr>
                <w:sz w:val="20"/>
                <w:szCs w:val="20"/>
              </w:rPr>
              <w:t xml:space="preserve"> пород</w:t>
            </w:r>
          </w:p>
        </w:tc>
      </w:tr>
    </w:tbl>
    <w:p w:rsidR="006C13C4" w:rsidRDefault="006C13C4" w:rsidP="003A07CB">
      <w:pPr>
        <w:jc w:val="both"/>
      </w:pPr>
      <w:r>
        <w:rPr>
          <w:rFonts w:ascii="Arial" w:hAnsi="Arial" w:cs="Arial"/>
          <w:color w:val="333333"/>
          <w:sz w:val="18"/>
          <w:szCs w:val="18"/>
        </w:rPr>
        <w:t>__________________________</w:t>
      </w:r>
      <w:r>
        <w:rPr>
          <w:rFonts w:ascii="Arial" w:hAnsi="Arial" w:cs="Arial"/>
          <w:color w:val="333333"/>
          <w:sz w:val="18"/>
          <w:szCs w:val="18"/>
        </w:rPr>
        <w:br w:type="textWrapping" w:clear="all"/>
      </w:r>
      <w:r w:rsidRPr="009A497C">
        <w:t xml:space="preserve">«*» </w:t>
      </w:r>
      <w:r w:rsidR="00850F58">
        <w:t xml:space="preserve">Руководители </w:t>
      </w:r>
      <w:r w:rsidRPr="009A497C">
        <w:t>отделов обеспечиваются по решению руков</w:t>
      </w:r>
      <w:r w:rsidR="00E044D1">
        <w:t>одителей муниципальных органов Притобольного</w:t>
      </w:r>
      <w:r w:rsidRPr="009A497C">
        <w:t xml:space="preserve"> района</w:t>
      </w:r>
      <w:r w:rsidRPr="004166DB">
        <w:t xml:space="preserve"> </w:t>
      </w:r>
    </w:p>
    <w:p w:rsidR="006C13C4" w:rsidRDefault="006C13C4" w:rsidP="003A07CB">
      <w:pPr>
        <w:jc w:val="both"/>
      </w:pPr>
    </w:p>
    <w:p w:rsidR="00C360E7" w:rsidRDefault="00C360E7" w:rsidP="003A07CB">
      <w:pPr>
        <w:jc w:val="both"/>
      </w:pPr>
    </w:p>
    <w:p w:rsidR="008A320A" w:rsidRDefault="008A320A" w:rsidP="00C912BE">
      <w:pPr>
        <w:jc w:val="right"/>
        <w:rPr>
          <w:b/>
        </w:rPr>
      </w:pPr>
    </w:p>
    <w:sectPr w:rsidR="008A320A" w:rsidSect="00FB2585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3EB45387"/>
    <w:multiLevelType w:val="hybridMultilevel"/>
    <w:tmpl w:val="7736D9F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54"/>
    <w:rsid w:val="00072AF9"/>
    <w:rsid w:val="000C7C58"/>
    <w:rsid w:val="00130907"/>
    <w:rsid w:val="0014227C"/>
    <w:rsid w:val="001C78C3"/>
    <w:rsid w:val="002308EE"/>
    <w:rsid w:val="002A08EF"/>
    <w:rsid w:val="002D7079"/>
    <w:rsid w:val="003225A7"/>
    <w:rsid w:val="00324FF5"/>
    <w:rsid w:val="00331B5A"/>
    <w:rsid w:val="003356C9"/>
    <w:rsid w:val="00365679"/>
    <w:rsid w:val="00372999"/>
    <w:rsid w:val="00380DD4"/>
    <w:rsid w:val="00395530"/>
    <w:rsid w:val="0039757E"/>
    <w:rsid w:val="003A07CB"/>
    <w:rsid w:val="00426010"/>
    <w:rsid w:val="004A0726"/>
    <w:rsid w:val="004D0D71"/>
    <w:rsid w:val="00543828"/>
    <w:rsid w:val="00567ED7"/>
    <w:rsid w:val="0058397B"/>
    <w:rsid w:val="005A5BDF"/>
    <w:rsid w:val="005A7189"/>
    <w:rsid w:val="005D1DC0"/>
    <w:rsid w:val="005E2945"/>
    <w:rsid w:val="005E375C"/>
    <w:rsid w:val="006C13C4"/>
    <w:rsid w:val="006D23B3"/>
    <w:rsid w:val="006D3FF6"/>
    <w:rsid w:val="00703BBA"/>
    <w:rsid w:val="007048EC"/>
    <w:rsid w:val="00711261"/>
    <w:rsid w:val="00723423"/>
    <w:rsid w:val="007315F6"/>
    <w:rsid w:val="00791D10"/>
    <w:rsid w:val="00791F3F"/>
    <w:rsid w:val="0079362B"/>
    <w:rsid w:val="007C657B"/>
    <w:rsid w:val="008330B2"/>
    <w:rsid w:val="00833E90"/>
    <w:rsid w:val="00834D14"/>
    <w:rsid w:val="00850F58"/>
    <w:rsid w:val="00880A1B"/>
    <w:rsid w:val="0088465C"/>
    <w:rsid w:val="008A320A"/>
    <w:rsid w:val="009450C3"/>
    <w:rsid w:val="009677EC"/>
    <w:rsid w:val="0097023F"/>
    <w:rsid w:val="009E5765"/>
    <w:rsid w:val="00A73247"/>
    <w:rsid w:val="00AA597C"/>
    <w:rsid w:val="00AA66A6"/>
    <w:rsid w:val="00AE314A"/>
    <w:rsid w:val="00AE35DB"/>
    <w:rsid w:val="00B5652E"/>
    <w:rsid w:val="00C112BA"/>
    <w:rsid w:val="00C360E7"/>
    <w:rsid w:val="00C912BE"/>
    <w:rsid w:val="00CE74C8"/>
    <w:rsid w:val="00CF50AB"/>
    <w:rsid w:val="00D201DA"/>
    <w:rsid w:val="00E044D1"/>
    <w:rsid w:val="00E86504"/>
    <w:rsid w:val="00E879FF"/>
    <w:rsid w:val="00E96406"/>
    <w:rsid w:val="00EF4CC3"/>
    <w:rsid w:val="00FB2585"/>
    <w:rsid w:val="00F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C13C4"/>
    <w:pPr>
      <w:keepNext/>
      <w:tabs>
        <w:tab w:val="num" w:pos="0"/>
      </w:tabs>
      <w:suppressAutoHyphens/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1"/>
    <w:link w:val="a0"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Исполнитель3"/>
    <w:basedOn w:val="a"/>
    <w:rsid w:val="003225A7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character" w:styleId="a7">
    <w:name w:val="Hyperlink"/>
    <w:unhideWhenUsed/>
    <w:rsid w:val="003225A7"/>
    <w:rPr>
      <w:color w:val="0000FF"/>
      <w:u w:val="single"/>
    </w:rPr>
  </w:style>
  <w:style w:type="paragraph" w:customStyle="1" w:styleId="11">
    <w:name w:val="Основной текст1"/>
    <w:basedOn w:val="a"/>
    <w:rsid w:val="003225A7"/>
    <w:pPr>
      <w:shd w:val="clear" w:color="auto" w:fill="FFFFFF"/>
      <w:spacing w:before="360" w:line="336" w:lineRule="exact"/>
      <w:ind w:firstLine="700"/>
      <w:jc w:val="both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1C78C3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6C13C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8">
    <w:name w:val="Основной текст (8)_"/>
    <w:rsid w:val="006C13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rsid w:val="006C13C4"/>
    <w:pPr>
      <w:widowControl w:val="0"/>
      <w:shd w:val="clear" w:color="auto" w:fill="FFFFFF"/>
      <w:suppressAutoHyphens/>
      <w:spacing w:after="660" w:line="274" w:lineRule="exact"/>
    </w:pPr>
    <w:rPr>
      <w:rFonts w:eastAsia="Calibri"/>
      <w:b/>
      <w:bCs/>
      <w:sz w:val="20"/>
      <w:szCs w:val="20"/>
      <w:lang w:eastAsia="zh-CN"/>
    </w:rPr>
  </w:style>
  <w:style w:type="character" w:customStyle="1" w:styleId="a9">
    <w:name w:val="Гипертекстовая ссылка"/>
    <w:basedOn w:val="a1"/>
    <w:uiPriority w:val="99"/>
    <w:rsid w:val="006C13C4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1"/>
    <w:rsid w:val="006C13C4"/>
  </w:style>
  <w:style w:type="character" w:styleId="aa">
    <w:name w:val="Emphasis"/>
    <w:basedOn w:val="a1"/>
    <w:uiPriority w:val="20"/>
    <w:qFormat/>
    <w:rsid w:val="006C13C4"/>
    <w:rPr>
      <w:i/>
      <w:iCs/>
    </w:rPr>
  </w:style>
  <w:style w:type="table" w:styleId="ab">
    <w:name w:val="Table Grid"/>
    <w:basedOn w:val="a2"/>
    <w:uiPriority w:val="59"/>
    <w:rsid w:val="006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C13C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6">
    <w:name w:val="Основной текст (6)_"/>
    <w:rsid w:val="006C13C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6C13C4"/>
    <w:pPr>
      <w:suppressAutoHyphens/>
      <w:spacing w:before="280" w:after="142" w:line="288" w:lineRule="auto"/>
    </w:pPr>
    <w:rPr>
      <w:rFonts w:ascii="Liberation Serif" w:hAnsi="Liberation Serif" w:cs="Liberation Serif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1109.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DFB74279FA804C46C017292416459708DA7A35E092D1F489BB652DFE25B319886FD68267E1D0144Z7F" TargetMode="External"/><Relationship Id="rId11" Type="http://schemas.openxmlformats.org/officeDocument/2006/relationships/hyperlink" Target="http://kro.omsu-nnov.ru/?id=89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o.omsu-nnov.ru/?id=893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2AC-BB7C-49F3-9F72-DB3D458D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Конышева Л В</cp:lastModifiedBy>
  <cp:revision>30</cp:revision>
  <cp:lastPrinted>2016-12-19T05:23:00Z</cp:lastPrinted>
  <dcterms:created xsi:type="dcterms:W3CDTF">2014-09-16T05:18:00Z</dcterms:created>
  <dcterms:modified xsi:type="dcterms:W3CDTF">2016-12-21T04:48:00Z</dcterms:modified>
</cp:coreProperties>
</file>